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60F" w14:textId="77777777" w:rsidR="0002450C" w:rsidRPr="00560608" w:rsidRDefault="0002450C" w:rsidP="0002450C">
      <w:pPr>
        <w:rPr>
          <w:rFonts w:ascii="Times New Roman" w:hAnsi="Times New Roman"/>
          <w:szCs w:val="24"/>
        </w:rPr>
      </w:pPr>
    </w:p>
    <w:tbl>
      <w:tblPr>
        <w:tblW w:w="0" w:type="auto"/>
        <w:tblInd w:w="10" w:type="dxa"/>
        <w:tblLayout w:type="fixed"/>
        <w:tblCellMar>
          <w:left w:w="0" w:type="dxa"/>
          <w:right w:w="0" w:type="dxa"/>
        </w:tblCellMar>
        <w:tblLook w:val="01E0" w:firstRow="1" w:lastRow="1" w:firstColumn="1" w:lastColumn="1" w:noHBand="0" w:noVBand="0"/>
      </w:tblPr>
      <w:tblGrid>
        <w:gridCol w:w="2690"/>
        <w:gridCol w:w="6662"/>
      </w:tblGrid>
      <w:tr w:rsidR="0002450C" w14:paraId="725EC982" w14:textId="77777777" w:rsidTr="005C14A6">
        <w:trPr>
          <w:trHeight w:val="360"/>
        </w:trPr>
        <w:tc>
          <w:tcPr>
            <w:tcW w:w="2690" w:type="dxa"/>
          </w:tcPr>
          <w:p w14:paraId="502EBEF0" w14:textId="77777777" w:rsidR="0002450C" w:rsidRDefault="0002450C" w:rsidP="005C14A6">
            <w:pPr>
              <w:pStyle w:val="TableParagraph"/>
              <w:ind w:left="0"/>
              <w:rPr>
                <w:sz w:val="24"/>
              </w:rPr>
            </w:pPr>
            <w:r>
              <w:rPr>
                <w:b/>
                <w:smallCaps/>
                <w:spacing w:val="-2"/>
                <w:sz w:val="24"/>
              </w:rPr>
              <w:t>Administrative</w:t>
            </w:r>
            <w:r>
              <w:rPr>
                <w:b/>
                <w:smallCaps/>
                <w:spacing w:val="7"/>
                <w:sz w:val="24"/>
              </w:rPr>
              <w:t xml:space="preserve"> </w:t>
            </w:r>
            <w:r>
              <w:rPr>
                <w:b/>
                <w:smallCaps/>
                <w:spacing w:val="-2"/>
                <w:sz w:val="24"/>
              </w:rPr>
              <w:t>Division</w:t>
            </w:r>
          </w:p>
        </w:tc>
        <w:tc>
          <w:tcPr>
            <w:tcW w:w="6662" w:type="dxa"/>
          </w:tcPr>
          <w:p w14:paraId="2C5FCD96" w14:textId="77777777" w:rsidR="0002450C" w:rsidRDefault="0002450C" w:rsidP="005C14A6">
            <w:pPr>
              <w:pStyle w:val="TableParagraph"/>
              <w:spacing w:line="259" w:lineRule="exact"/>
              <w:rPr>
                <w:sz w:val="24"/>
              </w:rPr>
            </w:pPr>
            <w:r>
              <w:rPr>
                <w:rFonts w:eastAsia="Calibri"/>
                <w:szCs w:val="24"/>
              </w:rPr>
              <w:t>Student Affairs and Academic Services -Dean of Students</w:t>
            </w:r>
          </w:p>
        </w:tc>
      </w:tr>
      <w:tr w:rsidR="0002450C" w14:paraId="334F8BCA" w14:textId="77777777" w:rsidTr="005C14A6">
        <w:trPr>
          <w:trHeight w:val="360"/>
        </w:trPr>
        <w:tc>
          <w:tcPr>
            <w:tcW w:w="2690" w:type="dxa"/>
          </w:tcPr>
          <w:p w14:paraId="39656E26" w14:textId="77777777" w:rsidR="0002450C" w:rsidRDefault="0002450C" w:rsidP="005C14A6">
            <w:pPr>
              <w:pStyle w:val="TableParagraph"/>
              <w:ind w:left="0"/>
              <w:rPr>
                <w:b/>
                <w:smallCaps/>
                <w:spacing w:val="-2"/>
                <w:sz w:val="24"/>
              </w:rPr>
            </w:pPr>
            <w:r>
              <w:rPr>
                <w:b/>
                <w:smallCaps/>
                <w:sz w:val="24"/>
              </w:rPr>
              <w:t>Policy</w:t>
            </w:r>
            <w:r>
              <w:rPr>
                <w:b/>
                <w:smallCaps/>
                <w:spacing w:val="-11"/>
                <w:sz w:val="24"/>
              </w:rPr>
              <w:t xml:space="preserve"> </w:t>
            </w:r>
            <w:r>
              <w:rPr>
                <w:b/>
                <w:smallCaps/>
                <w:spacing w:val="-2"/>
                <w:sz w:val="24"/>
              </w:rPr>
              <w:t>Number</w:t>
            </w:r>
          </w:p>
        </w:tc>
        <w:tc>
          <w:tcPr>
            <w:tcW w:w="6662" w:type="dxa"/>
          </w:tcPr>
          <w:p w14:paraId="033F6D44" w14:textId="2886F9A8" w:rsidR="0002450C" w:rsidRDefault="0002450C" w:rsidP="005C14A6">
            <w:pPr>
              <w:pStyle w:val="TableParagraph"/>
              <w:rPr>
                <w:b/>
                <w:smallCaps/>
                <w:sz w:val="24"/>
              </w:rPr>
            </w:pPr>
            <w:r>
              <w:rPr>
                <w:rFonts w:eastAsia="Calibri"/>
                <w:szCs w:val="24"/>
              </w:rPr>
              <w:t>SDRC 6.1</w:t>
            </w:r>
          </w:p>
        </w:tc>
      </w:tr>
      <w:tr w:rsidR="0002450C" w14:paraId="4C042D56" w14:textId="77777777" w:rsidTr="005C14A6">
        <w:trPr>
          <w:trHeight w:val="360"/>
        </w:trPr>
        <w:tc>
          <w:tcPr>
            <w:tcW w:w="2690" w:type="dxa"/>
          </w:tcPr>
          <w:p w14:paraId="0DB2A62C" w14:textId="77777777" w:rsidR="0002450C" w:rsidRDefault="0002450C" w:rsidP="005C14A6">
            <w:pPr>
              <w:pStyle w:val="TableParagraph"/>
              <w:ind w:left="0"/>
              <w:rPr>
                <w:b/>
                <w:sz w:val="24"/>
              </w:rPr>
            </w:pPr>
            <w:r>
              <w:rPr>
                <w:b/>
                <w:smallCaps/>
                <w:sz w:val="24"/>
              </w:rPr>
              <w:t>Policy</w:t>
            </w:r>
            <w:r>
              <w:rPr>
                <w:b/>
                <w:smallCaps/>
                <w:spacing w:val="-11"/>
                <w:sz w:val="24"/>
              </w:rPr>
              <w:t xml:space="preserve"> </w:t>
            </w:r>
            <w:r>
              <w:rPr>
                <w:b/>
                <w:smallCaps/>
                <w:spacing w:val="-2"/>
                <w:sz w:val="24"/>
              </w:rPr>
              <w:t>Title</w:t>
            </w:r>
          </w:p>
        </w:tc>
        <w:tc>
          <w:tcPr>
            <w:tcW w:w="6662" w:type="dxa"/>
          </w:tcPr>
          <w:p w14:paraId="199D8BAD" w14:textId="18D93431" w:rsidR="0002450C" w:rsidRDefault="00AF66C3" w:rsidP="005C14A6">
            <w:pPr>
              <w:pStyle w:val="TableParagraph"/>
              <w:spacing w:line="259" w:lineRule="exact"/>
              <w:rPr>
                <w:sz w:val="24"/>
              </w:rPr>
            </w:pPr>
            <w:r>
              <w:rPr>
                <w:rFonts w:eastAsia="Calibri"/>
                <w:szCs w:val="24"/>
              </w:rPr>
              <w:t>Accessibility Policy- Campus</w:t>
            </w:r>
          </w:p>
        </w:tc>
      </w:tr>
      <w:tr w:rsidR="0002450C" w14:paraId="28E24624" w14:textId="77777777" w:rsidTr="005C14A6">
        <w:trPr>
          <w:trHeight w:val="360"/>
        </w:trPr>
        <w:tc>
          <w:tcPr>
            <w:tcW w:w="2690" w:type="dxa"/>
          </w:tcPr>
          <w:p w14:paraId="574C0CA4" w14:textId="77777777" w:rsidR="0002450C" w:rsidRDefault="0002450C" w:rsidP="005C14A6">
            <w:pPr>
              <w:pStyle w:val="TableParagraph"/>
              <w:ind w:left="0"/>
              <w:rPr>
                <w:b/>
                <w:smallCaps/>
                <w:sz w:val="24"/>
              </w:rPr>
            </w:pPr>
            <w:r>
              <w:rPr>
                <w:b/>
                <w:smallCaps/>
                <w:sz w:val="24"/>
              </w:rPr>
              <w:t>Scope</w:t>
            </w:r>
            <w:r>
              <w:rPr>
                <w:b/>
                <w:smallCaps/>
                <w:spacing w:val="-7"/>
                <w:sz w:val="24"/>
              </w:rPr>
              <w:t xml:space="preserve"> </w:t>
            </w:r>
            <w:r>
              <w:rPr>
                <w:b/>
                <w:smallCaps/>
                <w:sz w:val="24"/>
              </w:rPr>
              <w:t>of</w:t>
            </w:r>
            <w:r>
              <w:rPr>
                <w:b/>
                <w:smallCaps/>
                <w:spacing w:val="-4"/>
                <w:sz w:val="24"/>
              </w:rPr>
              <w:t xml:space="preserve"> </w:t>
            </w:r>
            <w:r>
              <w:rPr>
                <w:b/>
                <w:smallCaps/>
                <w:spacing w:val="-2"/>
                <w:sz w:val="24"/>
              </w:rPr>
              <w:t>Policy</w:t>
            </w:r>
          </w:p>
        </w:tc>
        <w:tc>
          <w:tcPr>
            <w:tcW w:w="6662" w:type="dxa"/>
          </w:tcPr>
          <w:p w14:paraId="1B8DC599" w14:textId="77777777" w:rsidR="0002450C" w:rsidRDefault="0002450C" w:rsidP="005C14A6">
            <w:pPr>
              <w:pStyle w:val="TableParagraph"/>
              <w:spacing w:line="259" w:lineRule="exact"/>
              <w:rPr>
                <w:sz w:val="24"/>
              </w:rPr>
            </w:pPr>
            <w:r w:rsidRPr="00D8281E">
              <w:rPr>
                <w:rFonts w:eastAsia="Calibri"/>
                <w:szCs w:val="24"/>
              </w:rPr>
              <w:t xml:space="preserve">USC </w:t>
            </w:r>
            <w:r>
              <w:rPr>
                <w:rFonts w:eastAsia="Calibri"/>
                <w:szCs w:val="24"/>
              </w:rPr>
              <w:t>Columbia</w:t>
            </w:r>
          </w:p>
        </w:tc>
      </w:tr>
      <w:tr w:rsidR="0002450C" w14:paraId="43F4E43C" w14:textId="77777777" w:rsidTr="005C14A6">
        <w:trPr>
          <w:trHeight w:val="360"/>
        </w:trPr>
        <w:tc>
          <w:tcPr>
            <w:tcW w:w="2690" w:type="dxa"/>
          </w:tcPr>
          <w:p w14:paraId="0BA99877" w14:textId="77777777" w:rsidR="0002450C" w:rsidRDefault="0002450C" w:rsidP="005C14A6">
            <w:pPr>
              <w:pStyle w:val="TableParagraph"/>
              <w:ind w:left="0"/>
              <w:rPr>
                <w:sz w:val="24"/>
              </w:rPr>
            </w:pPr>
            <w:r>
              <w:rPr>
                <w:b/>
                <w:smallCaps/>
                <w:sz w:val="24"/>
              </w:rPr>
              <w:t>Date</w:t>
            </w:r>
            <w:r>
              <w:rPr>
                <w:b/>
                <w:smallCaps/>
                <w:spacing w:val="-5"/>
                <w:sz w:val="24"/>
              </w:rPr>
              <w:t xml:space="preserve"> </w:t>
            </w:r>
            <w:r>
              <w:rPr>
                <w:b/>
                <w:smallCaps/>
                <w:sz w:val="24"/>
              </w:rPr>
              <w:t>of</w:t>
            </w:r>
            <w:r>
              <w:rPr>
                <w:b/>
                <w:smallCaps/>
                <w:spacing w:val="-5"/>
                <w:sz w:val="24"/>
              </w:rPr>
              <w:t xml:space="preserve"> </w:t>
            </w:r>
            <w:r>
              <w:rPr>
                <w:b/>
                <w:smallCaps/>
                <w:spacing w:val="-2"/>
                <w:sz w:val="24"/>
              </w:rPr>
              <w:t>Revision</w:t>
            </w:r>
          </w:p>
        </w:tc>
        <w:tc>
          <w:tcPr>
            <w:tcW w:w="6662" w:type="dxa"/>
          </w:tcPr>
          <w:p w14:paraId="044AC85A" w14:textId="77777777" w:rsidR="0002450C" w:rsidRDefault="0002450C" w:rsidP="005C14A6">
            <w:pPr>
              <w:pStyle w:val="TableParagraph"/>
              <w:spacing w:line="259" w:lineRule="exact"/>
              <w:ind w:left="105"/>
              <w:rPr>
                <w:sz w:val="24"/>
              </w:rPr>
            </w:pPr>
            <w:r>
              <w:rPr>
                <w:sz w:val="24"/>
              </w:rPr>
              <w:t>May 1, 2026</w:t>
            </w:r>
          </w:p>
        </w:tc>
      </w:tr>
      <w:tr w:rsidR="0002450C" w14:paraId="421A451B" w14:textId="77777777" w:rsidTr="005C14A6">
        <w:trPr>
          <w:trHeight w:val="360"/>
        </w:trPr>
        <w:tc>
          <w:tcPr>
            <w:tcW w:w="2690" w:type="dxa"/>
          </w:tcPr>
          <w:p w14:paraId="24E4ACD6" w14:textId="77777777" w:rsidR="0002450C" w:rsidRDefault="0002450C" w:rsidP="005C14A6">
            <w:pPr>
              <w:pStyle w:val="TableParagraph"/>
              <w:ind w:left="0"/>
              <w:rPr>
                <w:sz w:val="24"/>
              </w:rPr>
            </w:pPr>
            <w:r>
              <w:rPr>
                <w:b/>
                <w:smallCaps/>
                <w:spacing w:val="-2"/>
                <w:sz w:val="24"/>
              </w:rPr>
              <w:t>Responsible</w:t>
            </w:r>
            <w:r>
              <w:rPr>
                <w:b/>
                <w:smallCaps/>
                <w:spacing w:val="6"/>
                <w:sz w:val="24"/>
              </w:rPr>
              <w:t xml:space="preserve"> </w:t>
            </w:r>
            <w:r>
              <w:rPr>
                <w:b/>
                <w:smallCaps/>
                <w:spacing w:val="-2"/>
                <w:sz w:val="24"/>
              </w:rPr>
              <w:t>Officer</w:t>
            </w:r>
          </w:p>
        </w:tc>
        <w:tc>
          <w:tcPr>
            <w:tcW w:w="6662" w:type="dxa"/>
          </w:tcPr>
          <w:p w14:paraId="73C75BD1" w14:textId="77777777" w:rsidR="0002450C" w:rsidRDefault="0002450C" w:rsidP="005C14A6">
            <w:pPr>
              <w:pStyle w:val="TableParagraph"/>
              <w:spacing w:line="264" w:lineRule="exact"/>
              <w:ind w:left="105"/>
              <w:rPr>
                <w:sz w:val="24"/>
              </w:rPr>
            </w:pPr>
            <w:r>
              <w:rPr>
                <w:rFonts w:eastAsia="Calibri"/>
                <w:szCs w:val="24"/>
              </w:rPr>
              <w:t>Sonia Badesha</w:t>
            </w:r>
          </w:p>
        </w:tc>
      </w:tr>
      <w:tr w:rsidR="0002450C" w14:paraId="738F274C" w14:textId="77777777" w:rsidTr="005C14A6">
        <w:trPr>
          <w:trHeight w:val="360"/>
        </w:trPr>
        <w:tc>
          <w:tcPr>
            <w:tcW w:w="2690" w:type="dxa"/>
          </w:tcPr>
          <w:p w14:paraId="04D9F11B" w14:textId="77777777" w:rsidR="0002450C" w:rsidRDefault="0002450C" w:rsidP="005C14A6">
            <w:pPr>
              <w:pStyle w:val="TableParagraph"/>
              <w:spacing w:line="270" w:lineRule="exact"/>
              <w:ind w:left="0"/>
              <w:rPr>
                <w:b/>
                <w:smallCaps/>
                <w:spacing w:val="-2"/>
                <w:sz w:val="24"/>
              </w:rPr>
            </w:pPr>
            <w:r>
              <w:rPr>
                <w:b/>
                <w:spacing w:val="-2"/>
                <w:sz w:val="24"/>
              </w:rPr>
              <w:t>A</w:t>
            </w:r>
            <w:r>
              <w:rPr>
                <w:b/>
                <w:spacing w:val="-2"/>
                <w:sz w:val="19"/>
              </w:rPr>
              <w:t>DMIN</w:t>
            </w:r>
            <w:r w:rsidRPr="004F3940">
              <w:rPr>
                <w:b/>
                <w:spacing w:val="-2"/>
                <w:sz w:val="19"/>
              </w:rPr>
              <w:t>ISTRATIVE</w:t>
            </w:r>
            <w:r w:rsidRPr="004F3940">
              <w:rPr>
                <w:b/>
                <w:spacing w:val="9"/>
                <w:sz w:val="19"/>
              </w:rPr>
              <w:t xml:space="preserve"> </w:t>
            </w:r>
            <w:r w:rsidRPr="004F3940">
              <w:rPr>
                <w:b/>
                <w:spacing w:val="-2"/>
                <w:sz w:val="24"/>
              </w:rPr>
              <w:t>O</w:t>
            </w:r>
            <w:r w:rsidRPr="004F3940">
              <w:rPr>
                <w:b/>
                <w:spacing w:val="-2"/>
                <w:sz w:val="19"/>
              </w:rPr>
              <w:t>FFICE</w:t>
            </w:r>
          </w:p>
        </w:tc>
        <w:tc>
          <w:tcPr>
            <w:tcW w:w="6662" w:type="dxa"/>
          </w:tcPr>
          <w:p w14:paraId="3803598C" w14:textId="79D84FE9" w:rsidR="0002450C" w:rsidRDefault="0002450C" w:rsidP="005C14A6">
            <w:pPr>
              <w:pStyle w:val="TableParagraph"/>
              <w:spacing w:line="270" w:lineRule="exact"/>
              <w:ind w:left="105"/>
              <w:rPr>
                <w:b/>
                <w:spacing w:val="-2"/>
                <w:sz w:val="24"/>
              </w:rPr>
            </w:pPr>
            <w:r>
              <w:rPr>
                <w:rFonts w:eastAsia="Calibri"/>
                <w:szCs w:val="24"/>
              </w:rPr>
              <w:t>Student Disability Resource Center (SDRC)</w:t>
            </w:r>
          </w:p>
        </w:tc>
      </w:tr>
    </w:tbl>
    <w:p w14:paraId="2F9EE7E5" w14:textId="77777777" w:rsidR="007F38C3" w:rsidRPr="00560608" w:rsidRDefault="007F38C3" w:rsidP="007F38C3">
      <w:pPr>
        <w:rPr>
          <w:rFonts w:ascii="Times New Roman" w:hAnsi="Times New Roman"/>
          <w:szCs w:val="24"/>
        </w:rPr>
      </w:pPr>
    </w:p>
    <w:p w14:paraId="7E330219" w14:textId="77777777" w:rsidR="007F38C3" w:rsidRPr="00560608" w:rsidRDefault="007F38C3" w:rsidP="007F38C3">
      <w:pPr>
        <w:rPr>
          <w:rFonts w:ascii="Times New Roman" w:hAnsi="Times New Roman"/>
          <w:b/>
          <w:smallCaps/>
          <w:szCs w:val="24"/>
        </w:rPr>
      </w:pPr>
      <w:r w:rsidRPr="00560608">
        <w:rPr>
          <w:rFonts w:ascii="Times New Roman" w:hAnsi="Times New Roman"/>
          <w:b/>
          <w:smallCaps/>
          <w:szCs w:val="24"/>
        </w:rPr>
        <w:t>Purpose</w:t>
      </w:r>
    </w:p>
    <w:p w14:paraId="73A97E76" w14:textId="73D765F7" w:rsidR="0002450C" w:rsidRDefault="0002450C" w:rsidP="0002450C">
      <w:r>
        <w:rPr>
          <w:rFonts w:ascii="Times New Roman" w:hAnsi="Times New Roman"/>
        </w:rPr>
        <w:t>This policy establishes the process for addressing campus accessibility concerns for students with disabilities and outlines how the Student Disability Resource Center (SDRC) coordinates with university departments to ensure access to facilities, programs, and services.</w:t>
      </w:r>
      <w:r>
        <w:rPr>
          <w:rFonts w:ascii="Times New Roman" w:hAnsi="Times New Roman"/>
        </w:rPr>
        <w:br/>
      </w:r>
      <w:r>
        <w:rPr>
          <w:rFonts w:ascii="Times New Roman" w:hAnsi="Times New Roman"/>
        </w:rPr>
        <w:br/>
        <w:t xml:space="preserve">This policy operates in conjunction with the </w:t>
      </w:r>
      <w:hyperlink r:id="rId10" w:history="1">
        <w:r w:rsidRPr="00986221">
          <w:rPr>
            <w:rStyle w:val="Hyperlink"/>
            <w:rFonts w:ascii="Times New Roman" w:hAnsi="Times New Roman"/>
          </w:rPr>
          <w:t>University’s Civil Rights &amp; Title IX policy on Access for Individuals with Disabilities (CR 3.00),</w:t>
        </w:r>
      </w:hyperlink>
      <w:r>
        <w:rPr>
          <w:rFonts w:ascii="Times New Roman" w:hAnsi="Times New Roman"/>
        </w:rPr>
        <w:t xml:space="preserve"> which provides the institutional framework for compliance with the Americans with Disabilities Act (ADA) and Section 504 of the Rehabilitation Act.</w:t>
      </w:r>
    </w:p>
    <w:p w14:paraId="2602BA3E" w14:textId="77777777" w:rsidR="007F38C3" w:rsidRDefault="007F38C3" w:rsidP="007F38C3">
      <w:pPr>
        <w:rPr>
          <w:rFonts w:ascii="Times New Roman" w:hAnsi="Times New Roman"/>
          <w:szCs w:val="24"/>
        </w:rPr>
      </w:pPr>
    </w:p>
    <w:p w14:paraId="51AF93D2" w14:textId="77777777" w:rsidR="007F38C3" w:rsidRDefault="007F38C3" w:rsidP="007F38C3">
      <w:pPr>
        <w:rPr>
          <w:rFonts w:ascii="Times New Roman" w:hAnsi="Times New Roman"/>
          <w:b/>
          <w:smallCaps/>
          <w:szCs w:val="24"/>
        </w:rPr>
      </w:pPr>
      <w:r w:rsidRPr="00C179F6">
        <w:rPr>
          <w:rFonts w:ascii="Times New Roman" w:hAnsi="Times New Roman"/>
          <w:b/>
          <w:smallCaps/>
          <w:szCs w:val="24"/>
        </w:rPr>
        <w:t>Definitions</w:t>
      </w:r>
      <w:r w:rsidR="00140C85">
        <w:rPr>
          <w:rFonts w:ascii="Times New Roman" w:hAnsi="Times New Roman"/>
          <w:b/>
          <w:smallCaps/>
          <w:szCs w:val="24"/>
        </w:rPr>
        <w:t xml:space="preserve"> and Acronyms</w:t>
      </w:r>
    </w:p>
    <w:p w14:paraId="6E51E8F7" w14:textId="77777777" w:rsidR="0002450C" w:rsidRPr="00C179F6" w:rsidRDefault="0002450C" w:rsidP="007F38C3">
      <w:pPr>
        <w:rPr>
          <w:rFonts w:ascii="Times New Roman" w:hAnsi="Times New Roman"/>
          <w:b/>
          <w:smallCaps/>
          <w:szCs w:val="24"/>
        </w:rPr>
      </w:pPr>
    </w:p>
    <w:p w14:paraId="56ECA7B0" w14:textId="77777777" w:rsidR="0002450C" w:rsidRDefault="0002450C" w:rsidP="0002450C">
      <w:r>
        <w:rPr>
          <w:rFonts w:ascii="Times New Roman" w:hAnsi="Times New Roman"/>
        </w:rPr>
        <w:t>SDRC: Student Disability Resource Center</w:t>
      </w:r>
    </w:p>
    <w:p w14:paraId="1722C479" w14:textId="77777777" w:rsidR="0002450C" w:rsidRDefault="0002450C" w:rsidP="0002450C">
      <w:pPr>
        <w:rPr>
          <w:rFonts w:ascii="Times New Roman" w:hAnsi="Times New Roman"/>
        </w:rPr>
      </w:pPr>
    </w:p>
    <w:p w14:paraId="4FE9F3C3" w14:textId="57634A35" w:rsidR="0002450C" w:rsidRDefault="0002450C" w:rsidP="0002450C">
      <w:r>
        <w:rPr>
          <w:rFonts w:ascii="Times New Roman" w:hAnsi="Times New Roman"/>
        </w:rPr>
        <w:t>Accessibility Concern: A barrier that limits or prevents equal access to university facilities, programs, services, or environments</w:t>
      </w:r>
    </w:p>
    <w:p w14:paraId="7E03B54B" w14:textId="77777777" w:rsidR="007F38C3" w:rsidRDefault="007F38C3" w:rsidP="007F38C3">
      <w:pPr>
        <w:rPr>
          <w:rFonts w:ascii="Times New Roman" w:hAnsi="Times New Roman"/>
          <w:szCs w:val="24"/>
        </w:rPr>
      </w:pPr>
    </w:p>
    <w:p w14:paraId="6F4F05F0"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Policy Statement</w:t>
      </w:r>
    </w:p>
    <w:p w14:paraId="3706792E" w14:textId="7E468F9A" w:rsidR="007F38C3" w:rsidRPr="00A9238B" w:rsidRDefault="0002450C" w:rsidP="007F38C3">
      <w:r>
        <w:rPr>
          <w:rFonts w:ascii="Times New Roman" w:hAnsi="Times New Roman"/>
        </w:rPr>
        <w:t xml:space="preserve">The University of South Carolina is committed to providing an accessible environment for all qualified individuals with disabilities. In alignment with </w:t>
      </w:r>
      <w:hyperlink r:id="rId11" w:history="1">
        <w:r w:rsidRPr="005B27F4">
          <w:rPr>
            <w:rStyle w:val="Hyperlink"/>
            <w:rFonts w:ascii="Times New Roman" w:hAnsi="Times New Roman"/>
          </w:rPr>
          <w:t>CR 3.00</w:t>
        </w:r>
      </w:hyperlink>
      <w:r>
        <w:rPr>
          <w:rFonts w:ascii="Times New Roman" w:hAnsi="Times New Roman"/>
        </w:rPr>
        <w:t>, students have the right to equal access to university programs, services, and facilities.</w:t>
      </w:r>
      <w:r>
        <w:rPr>
          <w:rFonts w:ascii="Times New Roman" w:hAnsi="Times New Roman"/>
        </w:rPr>
        <w:br/>
      </w:r>
      <w:r>
        <w:rPr>
          <w:rFonts w:ascii="Times New Roman" w:hAnsi="Times New Roman"/>
        </w:rPr>
        <w:br/>
        <w:t>The SDRC serves as the designated office for student accessibility coordination and works collaboratively with campus partners to address accessibility barriers.</w:t>
      </w:r>
      <w:r>
        <w:rPr>
          <w:rFonts w:ascii="Times New Roman" w:hAnsi="Times New Roman"/>
        </w:rPr>
        <w:br/>
      </w:r>
      <w:r>
        <w:rPr>
          <w:rFonts w:ascii="Times New Roman" w:hAnsi="Times New Roman"/>
        </w:rPr>
        <w:br/>
        <w:t>Students seeking accessibility-related support must be registered with the SDRC. Accessibility concerns are evaluated on a case-by-case basis and addressed through reasonable modifications, environmental adjustments, or coordination with appropriate university departments.</w:t>
      </w:r>
      <w:r>
        <w:rPr>
          <w:rFonts w:ascii="Times New Roman" w:hAnsi="Times New Roman"/>
        </w:rPr>
        <w:br/>
      </w:r>
    </w:p>
    <w:p w14:paraId="0E63A9E3"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Procedures</w:t>
      </w:r>
    </w:p>
    <w:p w14:paraId="299B9FEE" w14:textId="77777777" w:rsidR="0002450C" w:rsidRDefault="0002450C" w:rsidP="0002450C">
      <w:pPr>
        <w:rPr>
          <w:rFonts w:ascii="Times New Roman" w:hAnsi="Times New Roman"/>
          <w:b/>
        </w:rPr>
      </w:pPr>
    </w:p>
    <w:p w14:paraId="68EDDFF8" w14:textId="2248589F" w:rsidR="0002450C" w:rsidRDefault="0002450C" w:rsidP="0002450C">
      <w:r>
        <w:rPr>
          <w:rFonts w:ascii="Times New Roman" w:hAnsi="Times New Roman"/>
          <w:b/>
        </w:rPr>
        <w:t>A.</w:t>
      </w:r>
      <w:r w:rsidR="005B27F4">
        <w:rPr>
          <w:rFonts w:ascii="Times New Roman" w:hAnsi="Times New Roman"/>
          <w:b/>
        </w:rPr>
        <w:t xml:space="preserve"> </w:t>
      </w:r>
      <w:r>
        <w:rPr>
          <w:rFonts w:ascii="Times New Roman" w:hAnsi="Times New Roman"/>
          <w:b/>
        </w:rPr>
        <w:t>Classroom Accessibility</w:t>
      </w:r>
    </w:p>
    <w:p w14:paraId="08B61386" w14:textId="77777777" w:rsidR="0002450C" w:rsidRDefault="0002450C" w:rsidP="0002450C">
      <w:r>
        <w:rPr>
          <w:rFonts w:ascii="Times New Roman" w:hAnsi="Times New Roman"/>
        </w:rPr>
        <w:t>Students registered with SDRC are encouraged to review classroom locations prior to registration and utilize early registration when available.</w:t>
      </w:r>
      <w:r>
        <w:rPr>
          <w:rFonts w:ascii="Times New Roman" w:hAnsi="Times New Roman"/>
        </w:rPr>
        <w:br/>
      </w:r>
      <w:r>
        <w:rPr>
          <w:rFonts w:ascii="Times New Roman" w:hAnsi="Times New Roman"/>
        </w:rPr>
        <w:br/>
      </w:r>
      <w:r>
        <w:rPr>
          <w:rFonts w:ascii="Times New Roman" w:hAnsi="Times New Roman"/>
        </w:rPr>
        <w:lastRenderedPageBreak/>
        <w:t>If a classroom is not accessible, students must notify SDRC promptly so adjustments can be coordinated.</w:t>
      </w:r>
    </w:p>
    <w:p w14:paraId="5C8C6342" w14:textId="77777777" w:rsidR="0002450C" w:rsidRDefault="0002450C" w:rsidP="0002450C">
      <w:pPr>
        <w:rPr>
          <w:rFonts w:ascii="Times New Roman" w:hAnsi="Times New Roman"/>
          <w:b/>
        </w:rPr>
      </w:pPr>
    </w:p>
    <w:p w14:paraId="4C17BAC5" w14:textId="3E86DBE2" w:rsidR="0002450C" w:rsidRDefault="005B27F4" w:rsidP="0002450C">
      <w:r>
        <w:rPr>
          <w:rFonts w:ascii="Times New Roman" w:hAnsi="Times New Roman"/>
          <w:b/>
        </w:rPr>
        <w:t>B</w:t>
      </w:r>
      <w:r w:rsidR="0002450C">
        <w:rPr>
          <w:rFonts w:ascii="Times New Roman" w:hAnsi="Times New Roman"/>
          <w:b/>
        </w:rPr>
        <w:t>. Accessible Furniture (Desks)</w:t>
      </w:r>
    </w:p>
    <w:p w14:paraId="4564EF28" w14:textId="0D943BE7" w:rsidR="0002450C" w:rsidRDefault="0002450C" w:rsidP="0002450C">
      <w:r>
        <w:rPr>
          <w:rFonts w:ascii="Times New Roman" w:hAnsi="Times New Roman"/>
        </w:rPr>
        <w:t xml:space="preserve">Students needing accessible desks must </w:t>
      </w:r>
      <w:r w:rsidR="005B27F4">
        <w:rPr>
          <w:rFonts w:ascii="Times New Roman" w:hAnsi="Times New Roman"/>
        </w:rPr>
        <w:t>notify SDRC at least</w:t>
      </w:r>
      <w:r>
        <w:rPr>
          <w:rFonts w:ascii="Times New Roman" w:hAnsi="Times New Roman"/>
        </w:rPr>
        <w:t xml:space="preserve"> one month prior to the start of classes</w:t>
      </w:r>
      <w:r w:rsidR="005B27F4">
        <w:rPr>
          <w:rFonts w:ascii="Times New Roman" w:hAnsi="Times New Roman"/>
        </w:rPr>
        <w:t xml:space="preserve"> if applicable</w:t>
      </w:r>
      <w:r>
        <w:rPr>
          <w:rFonts w:ascii="Times New Roman" w:hAnsi="Times New Roman"/>
        </w:rPr>
        <w:t xml:space="preserve"> and</w:t>
      </w:r>
      <w:r w:rsidR="005B27F4">
        <w:rPr>
          <w:rFonts w:ascii="Times New Roman" w:hAnsi="Times New Roman"/>
        </w:rPr>
        <w:t xml:space="preserve">/ or </w:t>
      </w:r>
      <w:r>
        <w:rPr>
          <w:rFonts w:ascii="Times New Roman" w:hAnsi="Times New Roman"/>
        </w:rPr>
        <w:t>report any issues to SDRC.</w:t>
      </w:r>
    </w:p>
    <w:p w14:paraId="02F237E1" w14:textId="77777777" w:rsidR="0002450C" w:rsidRDefault="0002450C" w:rsidP="0002450C">
      <w:pPr>
        <w:rPr>
          <w:rFonts w:ascii="Times New Roman" w:hAnsi="Times New Roman"/>
          <w:b/>
        </w:rPr>
      </w:pPr>
    </w:p>
    <w:p w14:paraId="4C37B855" w14:textId="20352981" w:rsidR="0002450C" w:rsidRDefault="005B27F4" w:rsidP="0002450C">
      <w:r>
        <w:rPr>
          <w:rFonts w:ascii="Times New Roman" w:hAnsi="Times New Roman"/>
          <w:b/>
        </w:rPr>
        <w:t>C</w:t>
      </w:r>
      <w:r w:rsidR="0002450C">
        <w:rPr>
          <w:rFonts w:ascii="Times New Roman" w:hAnsi="Times New Roman"/>
          <w:b/>
        </w:rPr>
        <w:t>. Transportation Access</w:t>
      </w:r>
    </w:p>
    <w:p w14:paraId="0C9EA682" w14:textId="0E16F854" w:rsidR="0002450C" w:rsidRDefault="00390150" w:rsidP="0002450C">
      <w:pPr>
        <w:rPr>
          <w:rFonts w:ascii="Times New Roman" w:hAnsi="Times New Roman"/>
        </w:rPr>
      </w:pPr>
      <w:r w:rsidRPr="00390150">
        <w:rPr>
          <w:rFonts w:ascii="Times New Roman" w:hAnsi="Times New Roman"/>
        </w:rPr>
        <w:t>Students with documented disabilities, including mobility and health-related conditions that affect access to campus transportation, may be considered for Paratransit services on a case-by-case basis. The SDRC facilitates eligibility review and coordinates with Parking and Transportation Services</w:t>
      </w:r>
    </w:p>
    <w:p w14:paraId="17C9B66E" w14:textId="77777777" w:rsidR="00390150" w:rsidRDefault="00390150" w:rsidP="0002450C">
      <w:pPr>
        <w:rPr>
          <w:rFonts w:ascii="Times New Roman" w:hAnsi="Times New Roman"/>
          <w:b/>
        </w:rPr>
      </w:pPr>
    </w:p>
    <w:p w14:paraId="0385CC8D" w14:textId="0766064F" w:rsidR="0002450C" w:rsidRDefault="00390150" w:rsidP="0002450C">
      <w:r>
        <w:rPr>
          <w:rFonts w:ascii="Times New Roman" w:hAnsi="Times New Roman"/>
          <w:b/>
        </w:rPr>
        <w:t>D</w:t>
      </w:r>
      <w:r w:rsidR="0002450C">
        <w:rPr>
          <w:rFonts w:ascii="Times New Roman" w:hAnsi="Times New Roman"/>
          <w:b/>
        </w:rPr>
        <w:t>. Parking Accessibility</w:t>
      </w:r>
    </w:p>
    <w:p w14:paraId="3F04FF89" w14:textId="284A37BB" w:rsidR="0002450C" w:rsidRDefault="0002450C" w:rsidP="0002450C">
      <w:r>
        <w:rPr>
          <w:rFonts w:ascii="Times New Roman" w:hAnsi="Times New Roman"/>
        </w:rPr>
        <w:t xml:space="preserve">Students seeking accessible parking </w:t>
      </w:r>
      <w:proofErr w:type="gramStart"/>
      <w:r>
        <w:rPr>
          <w:rFonts w:ascii="Times New Roman" w:hAnsi="Times New Roman"/>
        </w:rPr>
        <w:t>accommodations</w:t>
      </w:r>
      <w:proofErr w:type="gramEnd"/>
      <w:r>
        <w:rPr>
          <w:rFonts w:ascii="Times New Roman" w:hAnsi="Times New Roman"/>
        </w:rPr>
        <w:t xml:space="preserve"> must work with Parking </w:t>
      </w:r>
      <w:r w:rsidR="00390150">
        <w:rPr>
          <w:rFonts w:ascii="Times New Roman" w:hAnsi="Times New Roman"/>
        </w:rPr>
        <w:t xml:space="preserve">and Transportation </w:t>
      </w:r>
      <w:r>
        <w:rPr>
          <w:rFonts w:ascii="Times New Roman" w:hAnsi="Times New Roman"/>
        </w:rPr>
        <w:t>Services and follow applicable procedures.</w:t>
      </w:r>
    </w:p>
    <w:p w14:paraId="21DBBF45" w14:textId="77777777" w:rsidR="0002450C" w:rsidRDefault="0002450C" w:rsidP="0002450C">
      <w:pPr>
        <w:rPr>
          <w:rFonts w:ascii="Times New Roman" w:hAnsi="Times New Roman"/>
          <w:b/>
        </w:rPr>
      </w:pPr>
    </w:p>
    <w:p w14:paraId="3DCBFB18" w14:textId="7D62CD9A" w:rsidR="0002450C" w:rsidRDefault="00390150" w:rsidP="0002450C">
      <w:r>
        <w:rPr>
          <w:rFonts w:ascii="Times New Roman" w:hAnsi="Times New Roman"/>
          <w:b/>
        </w:rPr>
        <w:t>E</w:t>
      </w:r>
      <w:r w:rsidR="0002450C">
        <w:rPr>
          <w:rFonts w:ascii="Times New Roman" w:hAnsi="Times New Roman"/>
          <w:b/>
        </w:rPr>
        <w:t>. Escalation and Reporting</w:t>
      </w:r>
    </w:p>
    <w:p w14:paraId="556C96C4" w14:textId="77777777" w:rsidR="0002450C" w:rsidRDefault="0002450C" w:rsidP="0002450C">
      <w:r>
        <w:rPr>
          <w:rFonts w:ascii="Times New Roman" w:hAnsi="Times New Roman"/>
        </w:rPr>
        <w:t>Accessibility concerns involving discrimination or unresolved barriers may be reported to the Office of Civil Rights &amp; Title IX in accordance with CR 3.00.</w:t>
      </w:r>
    </w:p>
    <w:p w14:paraId="636343AF" w14:textId="77777777" w:rsidR="007F38C3" w:rsidRDefault="007F38C3" w:rsidP="007F38C3">
      <w:pPr>
        <w:rPr>
          <w:rFonts w:ascii="Times New Roman" w:hAnsi="Times New Roman"/>
          <w:szCs w:val="24"/>
        </w:rPr>
      </w:pPr>
    </w:p>
    <w:p w14:paraId="72287B32"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Related University, State and Federal Policies </w:t>
      </w:r>
    </w:p>
    <w:p w14:paraId="72BF1E79" w14:textId="5ED95ADB" w:rsidR="0002450C" w:rsidRDefault="0002450C" w:rsidP="0002450C">
      <w:hyperlink r:id="rId12" w:history="1">
        <w:r w:rsidRPr="00390150">
          <w:rPr>
            <w:rStyle w:val="Hyperlink"/>
            <w:rFonts w:ascii="Times New Roman" w:hAnsi="Times New Roman"/>
          </w:rPr>
          <w:t>CR 3.00 – Access for Individuals with Disabilities</w:t>
        </w:r>
      </w:hyperlink>
    </w:p>
    <w:p w14:paraId="29010CF5" w14:textId="77777777" w:rsidR="0002450C" w:rsidRDefault="0002450C" w:rsidP="0002450C">
      <w:r>
        <w:rPr>
          <w:rFonts w:ascii="Times New Roman" w:hAnsi="Times New Roman"/>
        </w:rPr>
        <w:t>SDRC 1.1 – Registration and Accommodations as a Student at USC</w:t>
      </w:r>
    </w:p>
    <w:p w14:paraId="285AD65E" w14:textId="027FFF9C" w:rsidR="0002450C" w:rsidRDefault="0002450C" w:rsidP="0002450C">
      <w:hyperlink r:id="rId13" w:history="1">
        <w:r w:rsidRPr="00390150">
          <w:rPr>
            <w:rStyle w:val="Hyperlink"/>
            <w:rFonts w:ascii="Times New Roman" w:hAnsi="Times New Roman"/>
          </w:rPr>
          <w:t>Americans with Disabilities Act (ADA)</w:t>
        </w:r>
      </w:hyperlink>
    </w:p>
    <w:p w14:paraId="3FDE92F0" w14:textId="742396CD" w:rsidR="0002450C" w:rsidRPr="00390150" w:rsidRDefault="00390150" w:rsidP="0002450C">
      <w:pPr>
        <w:rPr>
          <w:rStyle w:val="Hyperlink"/>
        </w:rPr>
      </w:pPr>
      <w:r>
        <w:rPr>
          <w:rFonts w:ascii="Times New Roman" w:hAnsi="Times New Roman"/>
        </w:rPr>
        <w:fldChar w:fldCharType="begin"/>
      </w:r>
      <w:r>
        <w:rPr>
          <w:rFonts w:ascii="Times New Roman" w:hAnsi="Times New Roman"/>
        </w:rPr>
        <w:instrText>HYPERLINK "https://www.hhs.gov/civil-rights/for-individuals/disability/section-504-rehabilitation-act-of-1973/index.html"</w:instrText>
      </w:r>
      <w:r>
        <w:rPr>
          <w:rFonts w:ascii="Times New Roman" w:hAnsi="Times New Roman"/>
        </w:rPr>
      </w:r>
      <w:r>
        <w:rPr>
          <w:rFonts w:ascii="Times New Roman" w:hAnsi="Times New Roman"/>
        </w:rPr>
        <w:fldChar w:fldCharType="separate"/>
      </w:r>
      <w:r w:rsidR="0002450C" w:rsidRPr="00390150">
        <w:rPr>
          <w:rStyle w:val="Hyperlink"/>
          <w:rFonts w:ascii="Times New Roman" w:hAnsi="Times New Roman"/>
        </w:rPr>
        <w:t>Section 504 of the Rehabilitation Act</w:t>
      </w:r>
    </w:p>
    <w:p w14:paraId="58B7E344" w14:textId="741F8E42" w:rsidR="0002450C" w:rsidRDefault="00390150" w:rsidP="0002450C">
      <w:r>
        <w:rPr>
          <w:rFonts w:ascii="Times New Roman" w:hAnsi="Times New Roman"/>
        </w:rPr>
        <w:fldChar w:fldCharType="end"/>
      </w:r>
    </w:p>
    <w:p w14:paraId="160B1937" w14:textId="781257CC" w:rsidR="007F38C3" w:rsidRDefault="007F38C3" w:rsidP="007F38C3">
      <w:pPr>
        <w:rPr>
          <w:rFonts w:ascii="Times New Roman" w:hAnsi="Times New Roman"/>
          <w:szCs w:val="24"/>
        </w:rPr>
      </w:pPr>
    </w:p>
    <w:p w14:paraId="42D303C2" w14:textId="77777777" w:rsidR="007F38C3" w:rsidRDefault="007F38C3" w:rsidP="007F38C3">
      <w:pPr>
        <w:rPr>
          <w:rFonts w:ascii="Times New Roman" w:hAnsi="Times New Roman"/>
          <w:szCs w:val="24"/>
        </w:rPr>
      </w:pPr>
    </w:p>
    <w:p w14:paraId="34440CD5"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History of Revisions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F38C3" w14:paraId="28B75DEF" w14:textId="77777777" w:rsidTr="00EE6A15">
        <w:tc>
          <w:tcPr>
            <w:tcW w:w="4675" w:type="dxa"/>
          </w:tcPr>
          <w:p w14:paraId="31AD1BAD"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tc>
        <w:tc>
          <w:tcPr>
            <w:tcW w:w="4675" w:type="dxa"/>
          </w:tcPr>
          <w:p w14:paraId="590B7C96"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Reason for Revision</w:t>
            </w:r>
          </w:p>
        </w:tc>
      </w:tr>
      <w:tr w:rsidR="007F38C3" w14:paraId="5D897EC5" w14:textId="77777777" w:rsidTr="00EE6A15">
        <w:tc>
          <w:tcPr>
            <w:tcW w:w="4675" w:type="dxa"/>
          </w:tcPr>
          <w:p w14:paraId="1D9B72B1" w14:textId="2B7D35AA" w:rsidR="007F38C3" w:rsidRPr="00D8281E" w:rsidRDefault="0002450C" w:rsidP="00EE6A15">
            <w:pPr>
              <w:rPr>
                <w:rFonts w:ascii="Times New Roman" w:eastAsia="Calibri" w:hAnsi="Times New Roman"/>
                <w:szCs w:val="24"/>
              </w:rPr>
            </w:pPr>
            <w:r>
              <w:rPr>
                <w:rFonts w:ascii="Times New Roman" w:eastAsia="Calibri" w:hAnsi="Times New Roman"/>
                <w:szCs w:val="24"/>
              </w:rPr>
              <w:t>July 1, 2007</w:t>
            </w:r>
          </w:p>
        </w:tc>
        <w:tc>
          <w:tcPr>
            <w:tcW w:w="4675" w:type="dxa"/>
          </w:tcPr>
          <w:p w14:paraId="6F8BB41C" w14:textId="7F2B551C" w:rsidR="007F38C3" w:rsidRPr="00D8281E" w:rsidRDefault="0002450C" w:rsidP="00EE6A15">
            <w:pPr>
              <w:rPr>
                <w:rFonts w:ascii="Times New Roman" w:eastAsia="Calibri" w:hAnsi="Times New Roman"/>
                <w:szCs w:val="24"/>
              </w:rPr>
            </w:pPr>
            <w:r>
              <w:rPr>
                <w:rFonts w:ascii="Times New Roman" w:eastAsia="Calibri" w:hAnsi="Times New Roman"/>
                <w:szCs w:val="24"/>
              </w:rPr>
              <w:t>Original policy approval</w:t>
            </w:r>
          </w:p>
        </w:tc>
      </w:tr>
      <w:tr w:rsidR="007F38C3" w14:paraId="09917BC2" w14:textId="77777777" w:rsidTr="00EE6A15">
        <w:tc>
          <w:tcPr>
            <w:tcW w:w="4675" w:type="dxa"/>
          </w:tcPr>
          <w:p w14:paraId="7ED13B48" w14:textId="45E0714C" w:rsidR="007F38C3" w:rsidRPr="00D8281E" w:rsidRDefault="0002450C" w:rsidP="00EE6A15">
            <w:pPr>
              <w:rPr>
                <w:rFonts w:ascii="Times New Roman" w:eastAsia="Calibri" w:hAnsi="Times New Roman"/>
                <w:szCs w:val="24"/>
              </w:rPr>
            </w:pPr>
            <w:r>
              <w:rPr>
                <w:rFonts w:ascii="Times New Roman" w:eastAsia="Calibri" w:hAnsi="Times New Roman"/>
                <w:szCs w:val="24"/>
              </w:rPr>
              <w:t>February 8, 2019</w:t>
            </w:r>
          </w:p>
        </w:tc>
        <w:tc>
          <w:tcPr>
            <w:tcW w:w="4675" w:type="dxa"/>
          </w:tcPr>
          <w:p w14:paraId="3BDC32B1" w14:textId="5D1E9632" w:rsidR="007F38C3" w:rsidRPr="00D8281E" w:rsidRDefault="0002450C" w:rsidP="00EE6A15">
            <w:pPr>
              <w:rPr>
                <w:rFonts w:ascii="Times New Roman" w:eastAsia="Calibri" w:hAnsi="Times New Roman"/>
                <w:szCs w:val="24"/>
              </w:rPr>
            </w:pPr>
            <w:r>
              <w:rPr>
                <w:rFonts w:ascii="Times New Roman" w:eastAsia="Calibri" w:hAnsi="Times New Roman"/>
                <w:szCs w:val="24"/>
              </w:rPr>
              <w:t>Procedural updates</w:t>
            </w:r>
          </w:p>
        </w:tc>
      </w:tr>
      <w:tr w:rsidR="007F38C3" w14:paraId="4C60E75F" w14:textId="77777777" w:rsidTr="00EE6A15">
        <w:tc>
          <w:tcPr>
            <w:tcW w:w="4675" w:type="dxa"/>
          </w:tcPr>
          <w:p w14:paraId="2D457195" w14:textId="0255B8E7" w:rsidR="007F38C3" w:rsidRPr="00D8281E" w:rsidRDefault="0002450C" w:rsidP="00EE6A15">
            <w:pPr>
              <w:rPr>
                <w:rFonts w:ascii="Times New Roman" w:eastAsia="Calibri" w:hAnsi="Times New Roman"/>
                <w:szCs w:val="24"/>
              </w:rPr>
            </w:pPr>
            <w:r>
              <w:rPr>
                <w:rFonts w:ascii="Times New Roman" w:eastAsia="Calibri" w:hAnsi="Times New Roman"/>
                <w:szCs w:val="24"/>
              </w:rPr>
              <w:t>May 1, 2026</w:t>
            </w:r>
          </w:p>
        </w:tc>
        <w:tc>
          <w:tcPr>
            <w:tcW w:w="4675" w:type="dxa"/>
          </w:tcPr>
          <w:p w14:paraId="5C232C21" w14:textId="245AF4AB" w:rsidR="007F38C3" w:rsidRPr="00D8281E" w:rsidRDefault="0002450C" w:rsidP="00EE6A15">
            <w:pPr>
              <w:rPr>
                <w:rFonts w:ascii="Times New Roman" w:eastAsia="Calibri" w:hAnsi="Times New Roman"/>
                <w:szCs w:val="24"/>
              </w:rPr>
            </w:pPr>
            <w:r>
              <w:rPr>
                <w:rFonts w:ascii="Times New Roman" w:eastAsia="Calibri" w:hAnsi="Times New Roman"/>
                <w:szCs w:val="24"/>
              </w:rPr>
              <w:t>Revision to align with CR 3.00 and updated template</w:t>
            </w:r>
          </w:p>
        </w:tc>
      </w:tr>
    </w:tbl>
    <w:p w14:paraId="3C990B3E" w14:textId="77777777" w:rsidR="007F38C3" w:rsidRPr="00C179F6" w:rsidRDefault="007F38C3" w:rsidP="007F38C3">
      <w:pPr>
        <w:rPr>
          <w:rFonts w:ascii="Times New Roman" w:hAnsi="Times New Roman"/>
          <w:szCs w:val="24"/>
        </w:rPr>
      </w:pPr>
    </w:p>
    <w:p w14:paraId="16BFED20" w14:textId="037DA698" w:rsidR="006D6D41" w:rsidRDefault="006D6D41"/>
    <w:sectPr w:rsidR="006D6D41" w:rsidSect="00FD6D2E">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C259" w14:textId="77777777" w:rsidR="00952E8C" w:rsidRDefault="00952E8C">
      <w:r>
        <w:separator/>
      </w:r>
    </w:p>
  </w:endnote>
  <w:endnote w:type="continuationSeparator" w:id="0">
    <w:p w14:paraId="2DEFBDB5" w14:textId="77777777" w:rsidR="00952E8C" w:rsidRDefault="0095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5CE8" w14:textId="77777777" w:rsidR="006D6D41" w:rsidRDefault="007F38C3"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DFF36B" w14:textId="77777777" w:rsidR="006D6D41" w:rsidRDefault="006D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D58" w14:textId="77777777" w:rsidR="006D6D41" w:rsidRPr="00F30435" w:rsidRDefault="007F38C3"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sidR="00140C85">
      <w:rPr>
        <w:rStyle w:val="PageNumber"/>
        <w:rFonts w:ascii="Times New Roman" w:hAnsi="Times New Roman"/>
        <w:noProof/>
      </w:rPr>
      <w:t>1</w:t>
    </w:r>
    <w:r w:rsidRPr="00F30435">
      <w:rPr>
        <w:rStyle w:val="PageNumber"/>
        <w:rFonts w:ascii="Times New Roman" w:hAnsi="Times New Roman"/>
      </w:rPr>
      <w:fldChar w:fldCharType="end"/>
    </w:r>
  </w:p>
  <w:p w14:paraId="1DAFB8C5" w14:textId="77777777" w:rsidR="006D6D41" w:rsidRDefault="006D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59BD" w14:textId="77777777" w:rsidR="00952E8C" w:rsidRDefault="00952E8C">
      <w:r>
        <w:separator/>
      </w:r>
    </w:p>
  </w:footnote>
  <w:footnote w:type="continuationSeparator" w:id="0">
    <w:p w14:paraId="23D19F0A" w14:textId="77777777" w:rsidR="00952E8C" w:rsidRDefault="00952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C3"/>
    <w:rsid w:val="0002450C"/>
    <w:rsid w:val="00140C85"/>
    <w:rsid w:val="00390150"/>
    <w:rsid w:val="003D2969"/>
    <w:rsid w:val="004770A7"/>
    <w:rsid w:val="004A43CF"/>
    <w:rsid w:val="00565538"/>
    <w:rsid w:val="005B27F4"/>
    <w:rsid w:val="006D6D41"/>
    <w:rsid w:val="006E539B"/>
    <w:rsid w:val="007F38C3"/>
    <w:rsid w:val="008F4141"/>
    <w:rsid w:val="009503B0"/>
    <w:rsid w:val="00952E8C"/>
    <w:rsid w:val="00986221"/>
    <w:rsid w:val="009A60BF"/>
    <w:rsid w:val="00A9238B"/>
    <w:rsid w:val="00AF66C3"/>
    <w:rsid w:val="00BC7E58"/>
    <w:rsid w:val="00DE0F69"/>
    <w:rsid w:val="00E40FA1"/>
    <w:rsid w:val="00F0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C71F"/>
  <w15:chartTrackingRefBased/>
  <w15:docId w15:val="{671EFA1C-0AAC-40DA-B0EB-BD4D0CC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C3"/>
    <w:pPr>
      <w:spacing w:after="0" w:line="240" w:lineRule="auto"/>
    </w:pPr>
    <w:rPr>
      <w:rFonts w:ascii="Arial" w:eastAsia="Times New Roman" w:hAnsi="Arial" w:cs="Times New Roman"/>
      <w:sz w:val="24"/>
      <w:szCs w:val="20"/>
    </w:rPr>
  </w:style>
  <w:style w:type="paragraph" w:styleId="Heading1">
    <w:name w:val="heading 1"/>
    <w:basedOn w:val="Normal"/>
    <w:link w:val="Heading1Char"/>
    <w:uiPriority w:val="1"/>
    <w:qFormat/>
    <w:rsid w:val="007F38C3"/>
    <w:pPr>
      <w:widowControl w:val="0"/>
      <w:spacing w:before="56"/>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38C3"/>
    <w:rPr>
      <w:rFonts w:ascii="Times New Roman" w:eastAsia="Times New Roman" w:hAnsi="Times New Roman" w:cs="Times New Roman"/>
      <w:b/>
      <w:bCs/>
      <w:sz w:val="24"/>
      <w:szCs w:val="24"/>
    </w:rPr>
  </w:style>
  <w:style w:type="paragraph" w:styleId="Footer">
    <w:name w:val="footer"/>
    <w:basedOn w:val="Normal"/>
    <w:link w:val="FooterChar"/>
    <w:rsid w:val="007F38C3"/>
    <w:pPr>
      <w:tabs>
        <w:tab w:val="center" w:pos="4320"/>
        <w:tab w:val="right" w:pos="8640"/>
      </w:tabs>
    </w:pPr>
  </w:style>
  <w:style w:type="character" w:customStyle="1" w:styleId="FooterChar">
    <w:name w:val="Footer Char"/>
    <w:basedOn w:val="DefaultParagraphFont"/>
    <w:link w:val="Footer"/>
    <w:rsid w:val="007F38C3"/>
    <w:rPr>
      <w:rFonts w:ascii="Arial" w:eastAsia="Times New Roman" w:hAnsi="Arial" w:cs="Times New Roman"/>
      <w:sz w:val="24"/>
      <w:szCs w:val="20"/>
    </w:rPr>
  </w:style>
  <w:style w:type="character" w:styleId="PageNumber">
    <w:name w:val="page number"/>
    <w:basedOn w:val="DefaultParagraphFont"/>
    <w:rsid w:val="007F38C3"/>
  </w:style>
  <w:style w:type="paragraph" w:customStyle="1" w:styleId="TableParagraph">
    <w:name w:val="Table Paragraph"/>
    <w:basedOn w:val="Normal"/>
    <w:uiPriority w:val="1"/>
    <w:qFormat/>
    <w:rsid w:val="00E40FA1"/>
    <w:pPr>
      <w:widowControl w:val="0"/>
      <w:autoSpaceDE w:val="0"/>
      <w:autoSpaceDN w:val="0"/>
      <w:spacing w:line="273" w:lineRule="exact"/>
      <w:ind w:left="107"/>
    </w:pPr>
    <w:rPr>
      <w:rFonts w:ascii="Times New Roman" w:hAnsi="Times New Roman"/>
      <w:sz w:val="22"/>
      <w:szCs w:val="22"/>
    </w:rPr>
  </w:style>
  <w:style w:type="character" w:styleId="Hyperlink">
    <w:name w:val="Hyperlink"/>
    <w:basedOn w:val="DefaultParagraphFont"/>
    <w:uiPriority w:val="99"/>
    <w:unhideWhenUsed/>
    <w:rsid w:val="00986221"/>
    <w:rPr>
      <w:color w:val="0563C1" w:themeColor="hyperlink"/>
      <w:u w:val="single"/>
    </w:rPr>
  </w:style>
  <w:style w:type="character" w:styleId="UnresolvedMention">
    <w:name w:val="Unresolved Mention"/>
    <w:basedOn w:val="DefaultParagraphFont"/>
    <w:uiPriority w:val="99"/>
    <w:semiHidden/>
    <w:unhideWhenUsed/>
    <w:rsid w:val="00986221"/>
    <w:rPr>
      <w:color w:val="605E5C"/>
      <w:shd w:val="clear" w:color="auto" w:fill="E1DFDD"/>
    </w:rPr>
  </w:style>
  <w:style w:type="character" w:styleId="FollowedHyperlink">
    <w:name w:val="FollowedHyperlink"/>
    <w:basedOn w:val="DefaultParagraphFont"/>
    <w:uiPriority w:val="99"/>
    <w:semiHidden/>
    <w:unhideWhenUsed/>
    <w:rsid w:val="005B27F4"/>
    <w:rPr>
      <w:color w:val="954F72" w:themeColor="followedHyperlink"/>
      <w:u w:val="single"/>
    </w:rPr>
  </w:style>
  <w:style w:type="paragraph" w:styleId="ListParagraph">
    <w:name w:val="List Paragraph"/>
    <w:basedOn w:val="Normal"/>
    <w:uiPriority w:val="34"/>
    <w:qFormat/>
    <w:rsid w:val="005B2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edu/about/offices_and_divisions/civil_rights_title_ix/accessibility/index.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edu/about/offices_and_divisions/civil_rights_title_ix/accessibility/index.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c.edu/about/offices_and_divisions/civil_rights_title_ix/accessibility/index.ph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BEDD2-EF12-48B8-AB9A-FDAD797BC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BDCFD0-D334-492F-86ED-5F08BDFDB6EB}">
  <ds:schemaRefs>
    <ds:schemaRef ds:uri="http://schemas.openxmlformats.org/officeDocument/2006/bibliography"/>
  </ds:schemaRefs>
</ds:datastoreItem>
</file>

<file path=customXml/itemProps3.xml><?xml version="1.0" encoding="utf-8"?>
<ds:datastoreItem xmlns:ds="http://schemas.openxmlformats.org/officeDocument/2006/customXml" ds:itemID="{C7B2DEEB-EF7C-463E-8EBC-37F40E64F1B9}">
  <ds:schemaRefs>
    <ds:schemaRef ds:uri="http://schemas.microsoft.com/sharepoint/v3/contenttype/forms"/>
  </ds:schemaRefs>
</ds:datastoreItem>
</file>

<file path=customXml/itemProps4.xml><?xml version="1.0" encoding="utf-8"?>
<ds:datastoreItem xmlns:ds="http://schemas.openxmlformats.org/officeDocument/2006/customXml" ds:itemID="{C156D200-3451-4AFC-9EFD-3124CA299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 SHAKARA L</dc:creator>
  <cp:keywords/>
  <dc:description/>
  <cp:lastModifiedBy>Badesha, Sonia</cp:lastModifiedBy>
  <cp:revision>5</cp:revision>
  <dcterms:created xsi:type="dcterms:W3CDTF">2026-05-01T17:27:00Z</dcterms:created>
  <dcterms:modified xsi:type="dcterms:W3CDTF">2026-05-01T17:40:00Z</dcterms:modified>
</cp:coreProperties>
</file>