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237E68" w14:textId="77777777" w:rsidR="007F38C3" w:rsidRPr="00560608" w:rsidRDefault="007F38C3" w:rsidP="007F38C3">
      <w:pPr>
        <w:rPr>
          <w:rFonts w:ascii="Times New Roman" w:hAnsi="Times New Roman"/>
          <w:szCs w:val="24"/>
        </w:rPr>
      </w:pPr>
    </w:p>
    <w:tbl>
      <w:tblPr>
        <w:tblW w:w="0" w:type="auto"/>
        <w:tblInd w:w="10" w:type="dxa"/>
        <w:tblLayout w:type="fixed"/>
        <w:tblCellMar>
          <w:left w:w="0" w:type="dxa"/>
          <w:right w:w="0" w:type="dxa"/>
        </w:tblCellMar>
        <w:tblLook w:val="01E0" w:firstRow="1" w:lastRow="1" w:firstColumn="1" w:lastColumn="1" w:noHBand="0" w:noVBand="0"/>
      </w:tblPr>
      <w:tblGrid>
        <w:gridCol w:w="2690"/>
        <w:gridCol w:w="6662"/>
      </w:tblGrid>
      <w:tr w:rsidR="00E40FA1" w14:paraId="55ABB346" w14:textId="77777777" w:rsidTr="008A2A03">
        <w:trPr>
          <w:trHeight w:val="360"/>
        </w:trPr>
        <w:tc>
          <w:tcPr>
            <w:tcW w:w="2690" w:type="dxa"/>
          </w:tcPr>
          <w:p w14:paraId="232A8D39" w14:textId="77777777" w:rsidR="00E40FA1" w:rsidRDefault="00E40FA1" w:rsidP="008A2A03">
            <w:pPr>
              <w:pStyle w:val="TableParagraph"/>
              <w:ind w:left="0"/>
              <w:rPr>
                <w:sz w:val="24"/>
              </w:rPr>
            </w:pPr>
            <w:r>
              <w:rPr>
                <w:b/>
                <w:smallCaps/>
                <w:spacing w:val="-2"/>
                <w:sz w:val="24"/>
              </w:rPr>
              <w:t>Administrative</w:t>
            </w:r>
            <w:r>
              <w:rPr>
                <w:b/>
                <w:smallCaps/>
                <w:spacing w:val="7"/>
                <w:sz w:val="24"/>
              </w:rPr>
              <w:t xml:space="preserve"> </w:t>
            </w:r>
            <w:r>
              <w:rPr>
                <w:b/>
                <w:smallCaps/>
                <w:spacing w:val="-2"/>
                <w:sz w:val="24"/>
              </w:rPr>
              <w:t>Division</w:t>
            </w:r>
          </w:p>
        </w:tc>
        <w:tc>
          <w:tcPr>
            <w:tcW w:w="6662" w:type="dxa"/>
          </w:tcPr>
          <w:p w14:paraId="32788C50" w14:textId="6C70FDBA" w:rsidR="00E40FA1" w:rsidRDefault="00BA3FED" w:rsidP="008A2A03">
            <w:pPr>
              <w:pStyle w:val="TableParagraph"/>
              <w:spacing w:line="259" w:lineRule="exact"/>
              <w:rPr>
                <w:sz w:val="24"/>
              </w:rPr>
            </w:pPr>
            <w:r>
              <w:rPr>
                <w:rFonts w:eastAsia="Calibri"/>
                <w:szCs w:val="24"/>
              </w:rPr>
              <w:t xml:space="preserve">Student Affairs and Academic Services </w:t>
            </w:r>
            <w:r w:rsidR="00F00934">
              <w:rPr>
                <w:rFonts w:eastAsia="Calibri"/>
                <w:szCs w:val="24"/>
              </w:rPr>
              <w:t>-</w:t>
            </w:r>
            <w:r>
              <w:rPr>
                <w:rFonts w:eastAsia="Calibri"/>
                <w:szCs w:val="24"/>
              </w:rPr>
              <w:t>Dean of Students</w:t>
            </w:r>
          </w:p>
        </w:tc>
      </w:tr>
      <w:tr w:rsidR="00E40FA1" w14:paraId="7F2EC31F" w14:textId="77777777" w:rsidTr="008A2A03">
        <w:trPr>
          <w:trHeight w:val="360"/>
        </w:trPr>
        <w:tc>
          <w:tcPr>
            <w:tcW w:w="2690" w:type="dxa"/>
          </w:tcPr>
          <w:p w14:paraId="370978F2" w14:textId="77777777" w:rsidR="00E40FA1" w:rsidRDefault="00E40FA1" w:rsidP="008A2A03">
            <w:pPr>
              <w:pStyle w:val="TableParagraph"/>
              <w:ind w:left="0"/>
              <w:rPr>
                <w:b/>
                <w:smallCaps/>
                <w:spacing w:val="-2"/>
                <w:sz w:val="24"/>
              </w:rPr>
            </w:pPr>
            <w:r>
              <w:rPr>
                <w:b/>
                <w:smallCaps/>
                <w:sz w:val="24"/>
              </w:rPr>
              <w:t>Policy</w:t>
            </w:r>
            <w:r>
              <w:rPr>
                <w:b/>
                <w:smallCaps/>
                <w:spacing w:val="-11"/>
                <w:sz w:val="24"/>
              </w:rPr>
              <w:t xml:space="preserve"> </w:t>
            </w:r>
            <w:r>
              <w:rPr>
                <w:b/>
                <w:smallCaps/>
                <w:spacing w:val="-2"/>
                <w:sz w:val="24"/>
              </w:rPr>
              <w:t>Number</w:t>
            </w:r>
          </w:p>
        </w:tc>
        <w:tc>
          <w:tcPr>
            <w:tcW w:w="6662" w:type="dxa"/>
          </w:tcPr>
          <w:p w14:paraId="0171A0B4" w14:textId="7D18D27E" w:rsidR="00E40FA1" w:rsidRDefault="00BA3FED" w:rsidP="008A2A03">
            <w:pPr>
              <w:pStyle w:val="TableParagraph"/>
              <w:rPr>
                <w:b/>
                <w:smallCaps/>
                <w:sz w:val="24"/>
              </w:rPr>
            </w:pPr>
            <w:r>
              <w:rPr>
                <w:rFonts w:eastAsia="Calibri"/>
                <w:szCs w:val="24"/>
              </w:rPr>
              <w:t>SDRC 1.1</w:t>
            </w:r>
          </w:p>
        </w:tc>
      </w:tr>
      <w:tr w:rsidR="00E40FA1" w14:paraId="7A189DA8" w14:textId="77777777" w:rsidTr="008A2A03">
        <w:trPr>
          <w:trHeight w:val="360"/>
        </w:trPr>
        <w:tc>
          <w:tcPr>
            <w:tcW w:w="2690" w:type="dxa"/>
          </w:tcPr>
          <w:p w14:paraId="40008322" w14:textId="77777777" w:rsidR="00E40FA1" w:rsidRDefault="00E40FA1" w:rsidP="008A2A03">
            <w:pPr>
              <w:pStyle w:val="TableParagraph"/>
              <w:ind w:left="0"/>
              <w:rPr>
                <w:b/>
                <w:sz w:val="24"/>
              </w:rPr>
            </w:pPr>
            <w:r>
              <w:rPr>
                <w:b/>
                <w:smallCaps/>
                <w:sz w:val="24"/>
              </w:rPr>
              <w:t>Policy</w:t>
            </w:r>
            <w:r>
              <w:rPr>
                <w:b/>
                <w:smallCaps/>
                <w:spacing w:val="-11"/>
                <w:sz w:val="24"/>
              </w:rPr>
              <w:t xml:space="preserve"> </w:t>
            </w:r>
            <w:r>
              <w:rPr>
                <w:b/>
                <w:smallCaps/>
                <w:spacing w:val="-2"/>
                <w:sz w:val="24"/>
              </w:rPr>
              <w:t>Title</w:t>
            </w:r>
          </w:p>
        </w:tc>
        <w:tc>
          <w:tcPr>
            <w:tcW w:w="6662" w:type="dxa"/>
          </w:tcPr>
          <w:p w14:paraId="6EB392EE" w14:textId="3DAD0A48" w:rsidR="00E40FA1" w:rsidRDefault="00BA3FED" w:rsidP="008A2A03">
            <w:pPr>
              <w:pStyle w:val="TableParagraph"/>
              <w:spacing w:line="259" w:lineRule="exact"/>
              <w:rPr>
                <w:sz w:val="24"/>
              </w:rPr>
            </w:pPr>
            <w:r>
              <w:rPr>
                <w:rFonts w:eastAsia="Calibri"/>
                <w:szCs w:val="24"/>
              </w:rPr>
              <w:t>Registration and Accommodations as a Student at USC</w:t>
            </w:r>
          </w:p>
        </w:tc>
      </w:tr>
      <w:tr w:rsidR="00E40FA1" w14:paraId="716A448A" w14:textId="77777777" w:rsidTr="008A2A03">
        <w:trPr>
          <w:trHeight w:val="360"/>
        </w:trPr>
        <w:tc>
          <w:tcPr>
            <w:tcW w:w="2690" w:type="dxa"/>
          </w:tcPr>
          <w:p w14:paraId="1D653723" w14:textId="77777777" w:rsidR="00E40FA1" w:rsidRDefault="00E40FA1" w:rsidP="008A2A03">
            <w:pPr>
              <w:pStyle w:val="TableParagraph"/>
              <w:ind w:left="0"/>
              <w:rPr>
                <w:b/>
                <w:smallCaps/>
                <w:sz w:val="24"/>
              </w:rPr>
            </w:pPr>
            <w:r>
              <w:rPr>
                <w:b/>
                <w:smallCaps/>
                <w:sz w:val="24"/>
              </w:rPr>
              <w:t>Scope</w:t>
            </w:r>
            <w:r>
              <w:rPr>
                <w:b/>
                <w:smallCaps/>
                <w:spacing w:val="-7"/>
                <w:sz w:val="24"/>
              </w:rPr>
              <w:t xml:space="preserve"> </w:t>
            </w:r>
            <w:r>
              <w:rPr>
                <w:b/>
                <w:smallCaps/>
                <w:sz w:val="24"/>
              </w:rPr>
              <w:t>of</w:t>
            </w:r>
            <w:r>
              <w:rPr>
                <w:b/>
                <w:smallCaps/>
                <w:spacing w:val="-4"/>
                <w:sz w:val="24"/>
              </w:rPr>
              <w:t xml:space="preserve"> </w:t>
            </w:r>
            <w:r>
              <w:rPr>
                <w:b/>
                <w:smallCaps/>
                <w:spacing w:val="-2"/>
                <w:sz w:val="24"/>
              </w:rPr>
              <w:t>Policy</w:t>
            </w:r>
          </w:p>
        </w:tc>
        <w:tc>
          <w:tcPr>
            <w:tcW w:w="6662" w:type="dxa"/>
          </w:tcPr>
          <w:p w14:paraId="4F00EBFE" w14:textId="34B7FB6F" w:rsidR="00E40FA1" w:rsidRDefault="00E40FA1" w:rsidP="008A2A03">
            <w:pPr>
              <w:pStyle w:val="TableParagraph"/>
              <w:spacing w:line="259" w:lineRule="exact"/>
              <w:rPr>
                <w:sz w:val="24"/>
              </w:rPr>
            </w:pPr>
            <w:r w:rsidRPr="00D8281E">
              <w:rPr>
                <w:rFonts w:eastAsia="Calibri"/>
                <w:szCs w:val="24"/>
              </w:rPr>
              <w:t xml:space="preserve">USC </w:t>
            </w:r>
            <w:r w:rsidR="00BA3FED">
              <w:rPr>
                <w:rFonts w:eastAsia="Calibri"/>
                <w:szCs w:val="24"/>
              </w:rPr>
              <w:t>Columbia</w:t>
            </w:r>
          </w:p>
        </w:tc>
      </w:tr>
      <w:tr w:rsidR="00E40FA1" w14:paraId="6C1A14AB" w14:textId="77777777" w:rsidTr="008A2A03">
        <w:trPr>
          <w:trHeight w:val="360"/>
        </w:trPr>
        <w:tc>
          <w:tcPr>
            <w:tcW w:w="2690" w:type="dxa"/>
          </w:tcPr>
          <w:p w14:paraId="14D45719" w14:textId="77777777" w:rsidR="00E40FA1" w:rsidRDefault="00E40FA1" w:rsidP="008A2A03">
            <w:pPr>
              <w:pStyle w:val="TableParagraph"/>
              <w:ind w:left="0"/>
              <w:rPr>
                <w:sz w:val="24"/>
              </w:rPr>
            </w:pPr>
            <w:r>
              <w:rPr>
                <w:b/>
                <w:smallCaps/>
                <w:sz w:val="24"/>
              </w:rPr>
              <w:t>Date</w:t>
            </w:r>
            <w:r>
              <w:rPr>
                <w:b/>
                <w:smallCaps/>
                <w:spacing w:val="-5"/>
                <w:sz w:val="24"/>
              </w:rPr>
              <w:t xml:space="preserve"> </w:t>
            </w:r>
            <w:r>
              <w:rPr>
                <w:b/>
                <w:smallCaps/>
                <w:sz w:val="24"/>
              </w:rPr>
              <w:t>of</w:t>
            </w:r>
            <w:r>
              <w:rPr>
                <w:b/>
                <w:smallCaps/>
                <w:spacing w:val="-5"/>
                <w:sz w:val="24"/>
              </w:rPr>
              <w:t xml:space="preserve"> </w:t>
            </w:r>
            <w:r>
              <w:rPr>
                <w:b/>
                <w:smallCaps/>
                <w:spacing w:val="-2"/>
                <w:sz w:val="24"/>
              </w:rPr>
              <w:t>Revision</w:t>
            </w:r>
          </w:p>
        </w:tc>
        <w:tc>
          <w:tcPr>
            <w:tcW w:w="6662" w:type="dxa"/>
          </w:tcPr>
          <w:p w14:paraId="311E2264" w14:textId="6CFBA8A8" w:rsidR="00E40FA1" w:rsidRDefault="00BA3FED" w:rsidP="008A2A03">
            <w:pPr>
              <w:pStyle w:val="TableParagraph"/>
              <w:spacing w:line="259" w:lineRule="exact"/>
              <w:ind w:left="105"/>
              <w:rPr>
                <w:sz w:val="24"/>
              </w:rPr>
            </w:pPr>
            <w:r>
              <w:rPr>
                <w:sz w:val="24"/>
              </w:rPr>
              <w:t>May 1, 2026</w:t>
            </w:r>
          </w:p>
        </w:tc>
      </w:tr>
      <w:tr w:rsidR="00E40FA1" w14:paraId="655EA9E5" w14:textId="77777777" w:rsidTr="008A2A03">
        <w:trPr>
          <w:trHeight w:val="360"/>
        </w:trPr>
        <w:tc>
          <w:tcPr>
            <w:tcW w:w="2690" w:type="dxa"/>
          </w:tcPr>
          <w:p w14:paraId="3F97C2C2" w14:textId="77777777" w:rsidR="00E40FA1" w:rsidRDefault="00E40FA1" w:rsidP="008A2A03">
            <w:pPr>
              <w:pStyle w:val="TableParagraph"/>
              <w:ind w:left="0"/>
              <w:rPr>
                <w:sz w:val="24"/>
              </w:rPr>
            </w:pPr>
            <w:r>
              <w:rPr>
                <w:b/>
                <w:smallCaps/>
                <w:spacing w:val="-2"/>
                <w:sz w:val="24"/>
              </w:rPr>
              <w:t>Responsible</w:t>
            </w:r>
            <w:r>
              <w:rPr>
                <w:b/>
                <w:smallCaps/>
                <w:spacing w:val="6"/>
                <w:sz w:val="24"/>
              </w:rPr>
              <w:t xml:space="preserve"> </w:t>
            </w:r>
            <w:r>
              <w:rPr>
                <w:b/>
                <w:smallCaps/>
                <w:spacing w:val="-2"/>
                <w:sz w:val="24"/>
              </w:rPr>
              <w:t>Officer</w:t>
            </w:r>
          </w:p>
        </w:tc>
        <w:tc>
          <w:tcPr>
            <w:tcW w:w="6662" w:type="dxa"/>
          </w:tcPr>
          <w:p w14:paraId="3C174FD6" w14:textId="7F639E25" w:rsidR="00E40FA1" w:rsidRDefault="00BA3FED" w:rsidP="008A2A03">
            <w:pPr>
              <w:pStyle w:val="TableParagraph"/>
              <w:spacing w:line="264" w:lineRule="exact"/>
              <w:ind w:left="105"/>
              <w:rPr>
                <w:sz w:val="24"/>
              </w:rPr>
            </w:pPr>
            <w:r>
              <w:rPr>
                <w:rFonts w:eastAsia="Calibri"/>
                <w:szCs w:val="24"/>
              </w:rPr>
              <w:t>Sonia Badesha</w:t>
            </w:r>
          </w:p>
        </w:tc>
      </w:tr>
      <w:tr w:rsidR="00E40FA1" w14:paraId="5FBD0B20" w14:textId="77777777" w:rsidTr="008A2A03">
        <w:trPr>
          <w:trHeight w:val="360"/>
        </w:trPr>
        <w:tc>
          <w:tcPr>
            <w:tcW w:w="2690" w:type="dxa"/>
          </w:tcPr>
          <w:p w14:paraId="7BA89845" w14:textId="77777777" w:rsidR="00E40FA1" w:rsidRDefault="00E40FA1" w:rsidP="008A2A03">
            <w:pPr>
              <w:pStyle w:val="TableParagraph"/>
              <w:spacing w:line="270" w:lineRule="exact"/>
              <w:ind w:left="0"/>
              <w:rPr>
                <w:b/>
                <w:smallCaps/>
                <w:spacing w:val="-2"/>
                <w:sz w:val="24"/>
              </w:rPr>
            </w:pPr>
            <w:r>
              <w:rPr>
                <w:b/>
                <w:spacing w:val="-2"/>
                <w:sz w:val="24"/>
              </w:rPr>
              <w:t>A</w:t>
            </w:r>
            <w:r>
              <w:rPr>
                <w:b/>
                <w:spacing w:val="-2"/>
                <w:sz w:val="19"/>
              </w:rPr>
              <w:t>DMIN</w:t>
            </w:r>
            <w:r w:rsidRPr="004F3940">
              <w:rPr>
                <w:b/>
                <w:spacing w:val="-2"/>
                <w:sz w:val="19"/>
              </w:rPr>
              <w:t>ISTRATIVE</w:t>
            </w:r>
            <w:r w:rsidRPr="004F3940">
              <w:rPr>
                <w:b/>
                <w:spacing w:val="9"/>
                <w:sz w:val="19"/>
              </w:rPr>
              <w:t xml:space="preserve"> </w:t>
            </w:r>
            <w:r w:rsidRPr="004F3940">
              <w:rPr>
                <w:b/>
                <w:spacing w:val="-2"/>
                <w:sz w:val="24"/>
              </w:rPr>
              <w:t>O</w:t>
            </w:r>
            <w:r w:rsidRPr="004F3940">
              <w:rPr>
                <w:b/>
                <w:spacing w:val="-2"/>
                <w:sz w:val="19"/>
              </w:rPr>
              <w:t>FFICE</w:t>
            </w:r>
          </w:p>
        </w:tc>
        <w:tc>
          <w:tcPr>
            <w:tcW w:w="6662" w:type="dxa"/>
          </w:tcPr>
          <w:p w14:paraId="0DE6865B" w14:textId="7A7E9C7F" w:rsidR="00E40FA1" w:rsidRDefault="00BA3FED" w:rsidP="008A2A03">
            <w:pPr>
              <w:pStyle w:val="TableParagraph"/>
              <w:spacing w:line="270" w:lineRule="exact"/>
              <w:ind w:left="105"/>
              <w:rPr>
                <w:b/>
                <w:spacing w:val="-2"/>
                <w:sz w:val="24"/>
              </w:rPr>
            </w:pPr>
            <w:r>
              <w:rPr>
                <w:rFonts w:eastAsia="Calibri"/>
                <w:szCs w:val="24"/>
              </w:rPr>
              <w:t>Student Disability Resource Center</w:t>
            </w:r>
            <w:r w:rsidR="00F00934">
              <w:rPr>
                <w:rFonts w:eastAsia="Calibri"/>
                <w:szCs w:val="24"/>
              </w:rPr>
              <w:t xml:space="preserve"> (SDRC)</w:t>
            </w:r>
          </w:p>
        </w:tc>
      </w:tr>
    </w:tbl>
    <w:p w14:paraId="2F9EE7E5" w14:textId="77777777" w:rsidR="007F38C3" w:rsidRPr="00560608" w:rsidRDefault="007F38C3" w:rsidP="007F38C3">
      <w:pPr>
        <w:rPr>
          <w:rFonts w:ascii="Times New Roman" w:hAnsi="Times New Roman"/>
          <w:szCs w:val="24"/>
        </w:rPr>
      </w:pPr>
    </w:p>
    <w:p w14:paraId="7E330219" w14:textId="77777777" w:rsidR="007F38C3" w:rsidRPr="00560608" w:rsidRDefault="007F38C3" w:rsidP="007F38C3">
      <w:pPr>
        <w:rPr>
          <w:rFonts w:ascii="Times New Roman" w:hAnsi="Times New Roman"/>
          <w:b/>
          <w:smallCaps/>
          <w:szCs w:val="24"/>
        </w:rPr>
      </w:pPr>
      <w:r w:rsidRPr="00560608">
        <w:rPr>
          <w:rFonts w:ascii="Times New Roman" w:hAnsi="Times New Roman"/>
          <w:b/>
          <w:smallCaps/>
          <w:szCs w:val="24"/>
        </w:rPr>
        <w:t>Purpose</w:t>
      </w:r>
    </w:p>
    <w:p w14:paraId="05E464FC" w14:textId="4CDFA430" w:rsidR="007F38C3" w:rsidRDefault="00302E88" w:rsidP="007F38C3">
      <w:pPr>
        <w:rPr>
          <w:rFonts w:ascii="Times New Roman" w:hAnsi="Times New Roman"/>
          <w:szCs w:val="24"/>
        </w:rPr>
      </w:pPr>
      <w:r w:rsidRPr="00302E88">
        <w:rPr>
          <w:rFonts w:ascii="Times New Roman" w:hAnsi="Times New Roman"/>
          <w:szCs w:val="24"/>
        </w:rPr>
        <w:t>This policy outlines the process for students to register with the Student Disability Resource Center (SDRC) and describes how academic accommodations are reviewed and implemented for students with disabilities at USC Columbia.</w:t>
      </w:r>
    </w:p>
    <w:p w14:paraId="2602BA3E" w14:textId="77777777" w:rsidR="007F38C3" w:rsidRDefault="007F38C3" w:rsidP="007F38C3">
      <w:pPr>
        <w:rPr>
          <w:rFonts w:ascii="Times New Roman" w:hAnsi="Times New Roman"/>
          <w:szCs w:val="24"/>
        </w:rPr>
      </w:pPr>
    </w:p>
    <w:p w14:paraId="51AF93D2" w14:textId="77777777" w:rsidR="007F38C3" w:rsidRDefault="007F38C3" w:rsidP="007F38C3">
      <w:pPr>
        <w:rPr>
          <w:rFonts w:ascii="Times New Roman" w:hAnsi="Times New Roman"/>
          <w:b/>
          <w:smallCaps/>
          <w:szCs w:val="24"/>
        </w:rPr>
      </w:pPr>
      <w:r w:rsidRPr="00C179F6">
        <w:rPr>
          <w:rFonts w:ascii="Times New Roman" w:hAnsi="Times New Roman"/>
          <w:b/>
          <w:smallCaps/>
          <w:szCs w:val="24"/>
        </w:rPr>
        <w:t>Definitions</w:t>
      </w:r>
      <w:r w:rsidR="00140C85">
        <w:rPr>
          <w:rFonts w:ascii="Times New Roman" w:hAnsi="Times New Roman"/>
          <w:b/>
          <w:smallCaps/>
          <w:szCs w:val="24"/>
        </w:rPr>
        <w:t xml:space="preserve"> and Acronyms</w:t>
      </w:r>
    </w:p>
    <w:p w14:paraId="4BBBA6CD" w14:textId="77777777" w:rsidR="00302E88" w:rsidRPr="00C179F6" w:rsidRDefault="00302E88" w:rsidP="007F38C3">
      <w:pPr>
        <w:rPr>
          <w:rFonts w:ascii="Times New Roman" w:hAnsi="Times New Roman"/>
          <w:b/>
          <w:smallCaps/>
          <w:szCs w:val="24"/>
        </w:rPr>
      </w:pPr>
    </w:p>
    <w:p w14:paraId="66ADFB22" w14:textId="66333C92" w:rsidR="00302E88" w:rsidRPr="00302E88" w:rsidRDefault="00302E88" w:rsidP="00302E88">
      <w:pPr>
        <w:rPr>
          <w:rFonts w:ascii="Times New Roman" w:hAnsi="Times New Roman"/>
          <w:szCs w:val="24"/>
        </w:rPr>
      </w:pPr>
      <w:r w:rsidRPr="00302E88">
        <w:rPr>
          <w:rFonts w:ascii="Times New Roman" w:hAnsi="Times New Roman"/>
          <w:b/>
          <w:bCs/>
          <w:szCs w:val="24"/>
        </w:rPr>
        <w:t>SDRC</w:t>
      </w:r>
      <w:r w:rsidRPr="00302E88">
        <w:rPr>
          <w:rFonts w:ascii="Times New Roman" w:hAnsi="Times New Roman"/>
          <w:szCs w:val="24"/>
        </w:rPr>
        <w:t xml:space="preserve">: Student Disability Resource Center </w:t>
      </w:r>
    </w:p>
    <w:p w14:paraId="3B882670" w14:textId="187F3B8F" w:rsidR="00302E88" w:rsidRPr="00302E88" w:rsidRDefault="00302E88" w:rsidP="00302E88">
      <w:pPr>
        <w:rPr>
          <w:rFonts w:ascii="Times New Roman" w:hAnsi="Times New Roman"/>
          <w:szCs w:val="24"/>
        </w:rPr>
      </w:pPr>
      <w:r w:rsidRPr="00302E88">
        <w:rPr>
          <w:rFonts w:ascii="Times New Roman" w:hAnsi="Times New Roman"/>
          <w:b/>
          <w:bCs/>
          <w:szCs w:val="24"/>
        </w:rPr>
        <w:t>Student Application for Services</w:t>
      </w:r>
      <w:r w:rsidRPr="00302E88">
        <w:rPr>
          <w:rFonts w:ascii="Times New Roman" w:hAnsi="Times New Roman"/>
          <w:szCs w:val="24"/>
        </w:rPr>
        <w:t xml:space="preserve">: Required application completed by students requesting registration and accommodations </w:t>
      </w:r>
    </w:p>
    <w:p w14:paraId="71375D6B" w14:textId="06B5B146" w:rsidR="00302E88" w:rsidRPr="00302E88" w:rsidRDefault="00302E88" w:rsidP="00302E88">
      <w:pPr>
        <w:rPr>
          <w:rFonts w:ascii="Times New Roman" w:hAnsi="Times New Roman"/>
          <w:szCs w:val="24"/>
        </w:rPr>
      </w:pPr>
      <w:r w:rsidRPr="00302E88">
        <w:rPr>
          <w:rFonts w:ascii="Times New Roman" w:hAnsi="Times New Roman"/>
          <w:b/>
          <w:bCs/>
          <w:szCs w:val="24"/>
        </w:rPr>
        <w:t>Documentation</w:t>
      </w:r>
      <w:r w:rsidRPr="00302E88">
        <w:rPr>
          <w:rFonts w:ascii="Times New Roman" w:hAnsi="Times New Roman"/>
          <w:szCs w:val="24"/>
        </w:rPr>
        <w:t xml:space="preserve">: Medical or psychological records from a qualified provider verifying a disability and its functional impact </w:t>
      </w:r>
    </w:p>
    <w:p w14:paraId="7E03B54B" w14:textId="04F0F00C" w:rsidR="007F38C3" w:rsidRDefault="00302E88" w:rsidP="00302E88">
      <w:pPr>
        <w:rPr>
          <w:rFonts w:ascii="Times New Roman" w:hAnsi="Times New Roman"/>
          <w:szCs w:val="24"/>
        </w:rPr>
      </w:pPr>
      <w:r w:rsidRPr="00302E88">
        <w:rPr>
          <w:rFonts w:ascii="Times New Roman" w:hAnsi="Times New Roman"/>
          <w:b/>
          <w:bCs/>
          <w:szCs w:val="24"/>
        </w:rPr>
        <w:t>Qualified Professional</w:t>
      </w:r>
      <w:r w:rsidRPr="00302E88">
        <w:rPr>
          <w:rFonts w:ascii="Times New Roman" w:hAnsi="Times New Roman"/>
          <w:szCs w:val="24"/>
        </w:rPr>
        <w:t>: A licensed or otherwise credentialed individual authorized to diagnose and/or treat the disability</w:t>
      </w:r>
    </w:p>
    <w:p w14:paraId="69932BCF" w14:textId="77777777" w:rsidR="00302E88" w:rsidRDefault="00302E88" w:rsidP="007F38C3">
      <w:pPr>
        <w:rPr>
          <w:rFonts w:ascii="Times New Roman" w:hAnsi="Times New Roman"/>
          <w:b/>
          <w:smallCaps/>
          <w:szCs w:val="24"/>
        </w:rPr>
      </w:pPr>
    </w:p>
    <w:p w14:paraId="6F4F05F0" w14:textId="2A35B5FB" w:rsidR="007F38C3" w:rsidRPr="00C179F6" w:rsidRDefault="007F38C3" w:rsidP="007F38C3">
      <w:pPr>
        <w:rPr>
          <w:rFonts w:ascii="Times New Roman" w:hAnsi="Times New Roman"/>
          <w:b/>
          <w:smallCaps/>
          <w:szCs w:val="24"/>
        </w:rPr>
      </w:pPr>
      <w:r w:rsidRPr="00C179F6">
        <w:rPr>
          <w:rFonts w:ascii="Times New Roman" w:hAnsi="Times New Roman"/>
          <w:b/>
          <w:smallCaps/>
          <w:szCs w:val="24"/>
        </w:rPr>
        <w:t>Policy Statement</w:t>
      </w:r>
    </w:p>
    <w:p w14:paraId="25615A9D" w14:textId="77777777" w:rsidR="00302E88" w:rsidRPr="00302E88" w:rsidRDefault="00302E88" w:rsidP="00302E88">
      <w:pPr>
        <w:rPr>
          <w:rFonts w:ascii="Times New Roman" w:hAnsi="Times New Roman"/>
          <w:szCs w:val="24"/>
        </w:rPr>
      </w:pPr>
      <w:r w:rsidRPr="00302E88">
        <w:rPr>
          <w:rFonts w:ascii="Times New Roman" w:hAnsi="Times New Roman"/>
          <w:szCs w:val="24"/>
        </w:rPr>
        <w:t>Students seeking recognition as a student with a disability must register with the Student Disability Resource Center. Disability status is not retroactive, and students are not recognized as having a disability by the university prior to completing registration.</w:t>
      </w:r>
    </w:p>
    <w:p w14:paraId="2DD493E5" w14:textId="77777777" w:rsidR="00302E88" w:rsidRDefault="00302E88" w:rsidP="00302E88">
      <w:pPr>
        <w:rPr>
          <w:rFonts w:ascii="Times New Roman" w:hAnsi="Times New Roman"/>
          <w:szCs w:val="24"/>
        </w:rPr>
      </w:pPr>
    </w:p>
    <w:p w14:paraId="22DE0BAF" w14:textId="3075AF58" w:rsidR="00302E88" w:rsidRPr="00302E88" w:rsidRDefault="00302E88" w:rsidP="00302E88">
      <w:pPr>
        <w:rPr>
          <w:rFonts w:ascii="Times New Roman" w:hAnsi="Times New Roman"/>
          <w:szCs w:val="24"/>
        </w:rPr>
      </w:pPr>
      <w:r w:rsidRPr="00302E88">
        <w:rPr>
          <w:rFonts w:ascii="Times New Roman" w:hAnsi="Times New Roman"/>
          <w:szCs w:val="24"/>
        </w:rPr>
        <w:t xml:space="preserve">The SDRC makes every effort to provide reasonable </w:t>
      </w:r>
      <w:proofErr w:type="gramStart"/>
      <w:r w:rsidRPr="00302E88">
        <w:rPr>
          <w:rFonts w:ascii="Times New Roman" w:hAnsi="Times New Roman"/>
          <w:szCs w:val="24"/>
        </w:rPr>
        <w:t>accommodations</w:t>
      </w:r>
      <w:proofErr w:type="gramEnd"/>
      <w:r w:rsidRPr="00302E88">
        <w:rPr>
          <w:rFonts w:ascii="Times New Roman" w:hAnsi="Times New Roman"/>
          <w:szCs w:val="24"/>
        </w:rPr>
        <w:t xml:space="preserve"> </w:t>
      </w:r>
      <w:proofErr w:type="gramStart"/>
      <w:r w:rsidRPr="00302E88">
        <w:rPr>
          <w:rFonts w:ascii="Times New Roman" w:hAnsi="Times New Roman"/>
          <w:szCs w:val="24"/>
        </w:rPr>
        <w:t>to</w:t>
      </w:r>
      <w:proofErr w:type="gramEnd"/>
      <w:r w:rsidRPr="00302E88">
        <w:rPr>
          <w:rFonts w:ascii="Times New Roman" w:hAnsi="Times New Roman"/>
          <w:szCs w:val="24"/>
        </w:rPr>
        <w:t xml:space="preserve"> qualified students with disabilities. However, registration does not guarantee </w:t>
      </w:r>
      <w:proofErr w:type="gramStart"/>
      <w:r w:rsidRPr="00302E88">
        <w:rPr>
          <w:rFonts w:ascii="Times New Roman" w:hAnsi="Times New Roman"/>
          <w:szCs w:val="24"/>
        </w:rPr>
        <w:t>accommodations</w:t>
      </w:r>
      <w:proofErr w:type="gramEnd"/>
      <w:r w:rsidRPr="00302E88">
        <w:rPr>
          <w:rFonts w:ascii="Times New Roman" w:hAnsi="Times New Roman"/>
          <w:szCs w:val="24"/>
        </w:rPr>
        <w:t xml:space="preserve">. All </w:t>
      </w:r>
      <w:proofErr w:type="gramStart"/>
      <w:r w:rsidRPr="00302E88">
        <w:rPr>
          <w:rFonts w:ascii="Times New Roman" w:hAnsi="Times New Roman"/>
          <w:szCs w:val="24"/>
        </w:rPr>
        <w:t>accommodations are</w:t>
      </w:r>
      <w:proofErr w:type="gramEnd"/>
      <w:r w:rsidRPr="00302E88">
        <w:rPr>
          <w:rFonts w:ascii="Times New Roman" w:hAnsi="Times New Roman"/>
          <w:szCs w:val="24"/>
        </w:rPr>
        <w:t xml:space="preserve"> determined on a case-by-case basis following review of appropriate documentation.</w:t>
      </w:r>
    </w:p>
    <w:p w14:paraId="3706792E" w14:textId="77777777" w:rsidR="007F38C3" w:rsidRDefault="007F38C3" w:rsidP="007F38C3">
      <w:pPr>
        <w:rPr>
          <w:rFonts w:ascii="Times New Roman" w:hAnsi="Times New Roman"/>
          <w:szCs w:val="24"/>
        </w:rPr>
      </w:pPr>
    </w:p>
    <w:p w14:paraId="0E63A9E3" w14:textId="77777777" w:rsidR="007F38C3" w:rsidRDefault="007F38C3" w:rsidP="007F38C3">
      <w:pPr>
        <w:rPr>
          <w:rFonts w:ascii="Times New Roman" w:hAnsi="Times New Roman"/>
          <w:b/>
          <w:smallCaps/>
          <w:szCs w:val="24"/>
        </w:rPr>
      </w:pPr>
      <w:r w:rsidRPr="00C179F6">
        <w:rPr>
          <w:rFonts w:ascii="Times New Roman" w:hAnsi="Times New Roman"/>
          <w:b/>
          <w:smallCaps/>
          <w:szCs w:val="24"/>
        </w:rPr>
        <w:t>Procedures</w:t>
      </w:r>
    </w:p>
    <w:p w14:paraId="4C5C64A6" w14:textId="77777777" w:rsidR="00302E88" w:rsidRPr="00C179F6" w:rsidRDefault="00302E88" w:rsidP="007F38C3">
      <w:pPr>
        <w:rPr>
          <w:rFonts w:ascii="Times New Roman" w:hAnsi="Times New Roman"/>
          <w:b/>
          <w:smallCaps/>
          <w:szCs w:val="24"/>
        </w:rPr>
      </w:pPr>
    </w:p>
    <w:p w14:paraId="5BBFE6F8" w14:textId="77777777" w:rsidR="00302E88" w:rsidRPr="00302E88" w:rsidRDefault="00302E88" w:rsidP="00302E88">
      <w:pPr>
        <w:rPr>
          <w:rFonts w:ascii="Times New Roman" w:hAnsi="Times New Roman"/>
          <w:szCs w:val="24"/>
        </w:rPr>
      </w:pPr>
      <w:r w:rsidRPr="00302E88">
        <w:rPr>
          <w:rFonts w:ascii="Times New Roman" w:hAnsi="Times New Roman"/>
          <w:b/>
          <w:bCs/>
          <w:szCs w:val="24"/>
        </w:rPr>
        <w:t>A. Initiating Registration</w:t>
      </w:r>
      <w:r w:rsidRPr="00302E88">
        <w:rPr>
          <w:rFonts w:ascii="Times New Roman" w:hAnsi="Times New Roman"/>
          <w:szCs w:val="24"/>
        </w:rPr>
        <w:br/>
        <w:t>Students should begin the registration process after admission to the university and as early as possible prior to enrollment.</w:t>
      </w:r>
    </w:p>
    <w:p w14:paraId="7FC6E6C5" w14:textId="77777777" w:rsidR="00302E88" w:rsidRDefault="00302E88" w:rsidP="00302E88">
      <w:pPr>
        <w:rPr>
          <w:rFonts w:ascii="Times New Roman" w:hAnsi="Times New Roman"/>
          <w:b/>
          <w:bCs/>
          <w:szCs w:val="24"/>
        </w:rPr>
      </w:pPr>
    </w:p>
    <w:p w14:paraId="6C0C9873" w14:textId="4072662F" w:rsidR="00302E88" w:rsidRPr="00302E88" w:rsidRDefault="00302E88" w:rsidP="00302E88">
      <w:pPr>
        <w:rPr>
          <w:rFonts w:ascii="Times New Roman" w:hAnsi="Times New Roman"/>
          <w:szCs w:val="24"/>
        </w:rPr>
      </w:pPr>
      <w:r w:rsidRPr="00302E88">
        <w:rPr>
          <w:rFonts w:ascii="Times New Roman" w:hAnsi="Times New Roman"/>
          <w:b/>
          <w:bCs/>
          <w:szCs w:val="24"/>
        </w:rPr>
        <w:t>B. Submission Requirements</w:t>
      </w:r>
      <w:r w:rsidRPr="00302E88">
        <w:rPr>
          <w:rFonts w:ascii="Times New Roman" w:hAnsi="Times New Roman"/>
          <w:szCs w:val="24"/>
        </w:rPr>
        <w:br/>
        <w:t>To register, students must submit:</w:t>
      </w:r>
    </w:p>
    <w:p w14:paraId="3A41643F" w14:textId="77777777" w:rsidR="00302E88" w:rsidRPr="00302E88" w:rsidRDefault="00302E88" w:rsidP="00302E88">
      <w:pPr>
        <w:numPr>
          <w:ilvl w:val="0"/>
          <w:numId w:val="1"/>
        </w:numPr>
        <w:rPr>
          <w:rFonts w:ascii="Times New Roman" w:hAnsi="Times New Roman"/>
          <w:szCs w:val="24"/>
        </w:rPr>
      </w:pPr>
      <w:r w:rsidRPr="00302E88">
        <w:rPr>
          <w:rFonts w:ascii="Times New Roman" w:hAnsi="Times New Roman"/>
          <w:szCs w:val="24"/>
        </w:rPr>
        <w:t xml:space="preserve">A completed Student Application for Services </w:t>
      </w:r>
    </w:p>
    <w:p w14:paraId="79AF9116" w14:textId="77777777" w:rsidR="00302E88" w:rsidRPr="00302E88" w:rsidRDefault="00302E88" w:rsidP="00302E88">
      <w:pPr>
        <w:numPr>
          <w:ilvl w:val="0"/>
          <w:numId w:val="1"/>
        </w:numPr>
        <w:rPr>
          <w:rFonts w:ascii="Times New Roman" w:hAnsi="Times New Roman"/>
          <w:szCs w:val="24"/>
        </w:rPr>
      </w:pPr>
      <w:r w:rsidRPr="00302E88">
        <w:rPr>
          <w:rFonts w:ascii="Times New Roman" w:hAnsi="Times New Roman"/>
          <w:szCs w:val="24"/>
        </w:rPr>
        <w:t xml:space="preserve">Documentation of their disability from a qualified professional </w:t>
      </w:r>
    </w:p>
    <w:p w14:paraId="5F5DEEC7" w14:textId="77777777" w:rsidR="00302E88" w:rsidRPr="00302E88" w:rsidRDefault="00302E88" w:rsidP="00302E88">
      <w:pPr>
        <w:rPr>
          <w:rFonts w:ascii="Times New Roman" w:hAnsi="Times New Roman"/>
          <w:szCs w:val="24"/>
        </w:rPr>
      </w:pPr>
      <w:r w:rsidRPr="00302E88">
        <w:rPr>
          <w:rFonts w:ascii="Times New Roman" w:hAnsi="Times New Roman"/>
          <w:szCs w:val="24"/>
        </w:rPr>
        <w:lastRenderedPageBreak/>
        <w:t xml:space="preserve">Documentation must follow SDRC guidelines and is used to determine eligibility and appropriate </w:t>
      </w:r>
      <w:proofErr w:type="gramStart"/>
      <w:r w:rsidRPr="00302E88">
        <w:rPr>
          <w:rFonts w:ascii="Times New Roman" w:hAnsi="Times New Roman"/>
          <w:szCs w:val="24"/>
        </w:rPr>
        <w:t>accommodations</w:t>
      </w:r>
      <w:proofErr w:type="gramEnd"/>
      <w:r w:rsidRPr="00302E88">
        <w:rPr>
          <w:rFonts w:ascii="Times New Roman" w:hAnsi="Times New Roman"/>
          <w:szCs w:val="24"/>
        </w:rPr>
        <w:t xml:space="preserve"> based on functional impact.</w:t>
      </w:r>
    </w:p>
    <w:p w14:paraId="10670651" w14:textId="77777777" w:rsidR="00302E88" w:rsidRDefault="00302E88" w:rsidP="00302E88">
      <w:pPr>
        <w:rPr>
          <w:rFonts w:ascii="Times New Roman" w:hAnsi="Times New Roman"/>
          <w:b/>
          <w:bCs/>
          <w:szCs w:val="24"/>
        </w:rPr>
      </w:pPr>
    </w:p>
    <w:p w14:paraId="319E36D0" w14:textId="0C9021A2" w:rsidR="00302E88" w:rsidRPr="00302E88" w:rsidRDefault="00302E88" w:rsidP="00302E88">
      <w:pPr>
        <w:rPr>
          <w:rFonts w:ascii="Times New Roman" w:hAnsi="Times New Roman"/>
          <w:szCs w:val="24"/>
        </w:rPr>
      </w:pPr>
      <w:r w:rsidRPr="00302E88">
        <w:rPr>
          <w:rFonts w:ascii="Times New Roman" w:hAnsi="Times New Roman"/>
          <w:b/>
          <w:bCs/>
          <w:szCs w:val="24"/>
        </w:rPr>
        <w:t>C. Review Process</w:t>
      </w:r>
      <w:r w:rsidRPr="00302E88">
        <w:rPr>
          <w:rFonts w:ascii="Times New Roman" w:hAnsi="Times New Roman"/>
          <w:szCs w:val="24"/>
        </w:rPr>
        <w:br/>
        <w:t>Once both the application and documentation are received, the student’s file is forwarded to the appropriate SDRC Coordinator for review.</w:t>
      </w:r>
    </w:p>
    <w:p w14:paraId="0DF47BF7" w14:textId="77777777" w:rsidR="00302E88" w:rsidRDefault="00302E88" w:rsidP="00302E88">
      <w:pPr>
        <w:rPr>
          <w:rFonts w:ascii="Times New Roman" w:hAnsi="Times New Roman"/>
          <w:b/>
          <w:bCs/>
          <w:szCs w:val="24"/>
        </w:rPr>
      </w:pPr>
    </w:p>
    <w:p w14:paraId="1DA9A055" w14:textId="774458CA" w:rsidR="00302E88" w:rsidRPr="00302E88" w:rsidRDefault="00302E88" w:rsidP="00302E88">
      <w:pPr>
        <w:rPr>
          <w:rFonts w:ascii="Times New Roman" w:hAnsi="Times New Roman"/>
          <w:szCs w:val="24"/>
        </w:rPr>
      </w:pPr>
      <w:r w:rsidRPr="00302E88">
        <w:rPr>
          <w:rFonts w:ascii="Times New Roman" w:hAnsi="Times New Roman"/>
          <w:b/>
          <w:bCs/>
          <w:szCs w:val="24"/>
        </w:rPr>
        <w:t>D. Determination and Communication</w:t>
      </w:r>
      <w:r w:rsidRPr="00302E88">
        <w:rPr>
          <w:rFonts w:ascii="Times New Roman" w:hAnsi="Times New Roman"/>
          <w:szCs w:val="24"/>
        </w:rPr>
        <w:br/>
        <w:t xml:space="preserve">After review, the SDRC will notify the student via university email. </w:t>
      </w:r>
    </w:p>
    <w:p w14:paraId="0F789D65" w14:textId="77777777" w:rsidR="00302E88" w:rsidRPr="00302E88" w:rsidRDefault="00302E88" w:rsidP="00302E88">
      <w:pPr>
        <w:rPr>
          <w:rFonts w:ascii="Times New Roman" w:hAnsi="Times New Roman"/>
          <w:szCs w:val="24"/>
        </w:rPr>
      </w:pPr>
      <w:r w:rsidRPr="00302E88">
        <w:rPr>
          <w:rFonts w:ascii="Times New Roman" w:hAnsi="Times New Roman"/>
          <w:szCs w:val="24"/>
        </w:rPr>
        <w:t>The determination will include one of the following:</w:t>
      </w:r>
    </w:p>
    <w:p w14:paraId="213AEE3B" w14:textId="77777777" w:rsidR="00302E88" w:rsidRPr="00302E88" w:rsidRDefault="00302E88" w:rsidP="00302E88">
      <w:pPr>
        <w:numPr>
          <w:ilvl w:val="0"/>
          <w:numId w:val="2"/>
        </w:numPr>
        <w:rPr>
          <w:rFonts w:ascii="Times New Roman" w:hAnsi="Times New Roman"/>
          <w:szCs w:val="24"/>
        </w:rPr>
      </w:pPr>
      <w:proofErr w:type="gramStart"/>
      <w:r w:rsidRPr="00302E88">
        <w:rPr>
          <w:rFonts w:ascii="Times New Roman" w:hAnsi="Times New Roman"/>
          <w:szCs w:val="24"/>
        </w:rPr>
        <w:t>Student is</w:t>
      </w:r>
      <w:proofErr w:type="gramEnd"/>
      <w:r w:rsidRPr="00302E88">
        <w:rPr>
          <w:rFonts w:ascii="Times New Roman" w:hAnsi="Times New Roman"/>
          <w:szCs w:val="24"/>
        </w:rPr>
        <w:t xml:space="preserve"> eligible and invited to schedule an orientation </w:t>
      </w:r>
    </w:p>
    <w:p w14:paraId="6CD20C4C" w14:textId="77777777" w:rsidR="00302E88" w:rsidRPr="00302E88" w:rsidRDefault="00302E88" w:rsidP="00302E88">
      <w:pPr>
        <w:numPr>
          <w:ilvl w:val="0"/>
          <w:numId w:val="2"/>
        </w:numPr>
        <w:rPr>
          <w:rFonts w:ascii="Times New Roman" w:hAnsi="Times New Roman"/>
          <w:szCs w:val="24"/>
        </w:rPr>
      </w:pPr>
      <w:r w:rsidRPr="00302E88">
        <w:rPr>
          <w:rFonts w:ascii="Times New Roman" w:hAnsi="Times New Roman"/>
          <w:szCs w:val="24"/>
        </w:rPr>
        <w:t xml:space="preserve">Additional documentation is required </w:t>
      </w:r>
    </w:p>
    <w:p w14:paraId="512EA8A8" w14:textId="77777777" w:rsidR="00302E88" w:rsidRPr="00302E88" w:rsidRDefault="00302E88" w:rsidP="00302E88">
      <w:pPr>
        <w:numPr>
          <w:ilvl w:val="0"/>
          <w:numId w:val="2"/>
        </w:numPr>
        <w:rPr>
          <w:rFonts w:ascii="Times New Roman" w:hAnsi="Times New Roman"/>
          <w:szCs w:val="24"/>
        </w:rPr>
      </w:pPr>
      <w:proofErr w:type="gramStart"/>
      <w:r w:rsidRPr="00302E88">
        <w:rPr>
          <w:rFonts w:ascii="Times New Roman" w:hAnsi="Times New Roman"/>
          <w:szCs w:val="24"/>
        </w:rPr>
        <w:t>Student is</w:t>
      </w:r>
      <w:proofErr w:type="gramEnd"/>
      <w:r w:rsidRPr="00302E88">
        <w:rPr>
          <w:rFonts w:ascii="Times New Roman" w:hAnsi="Times New Roman"/>
          <w:szCs w:val="24"/>
        </w:rPr>
        <w:t xml:space="preserve"> eligible for registration but not approved for </w:t>
      </w:r>
      <w:proofErr w:type="gramStart"/>
      <w:r w:rsidRPr="00302E88">
        <w:rPr>
          <w:rFonts w:ascii="Times New Roman" w:hAnsi="Times New Roman"/>
          <w:szCs w:val="24"/>
        </w:rPr>
        <w:t>accommodations</w:t>
      </w:r>
      <w:proofErr w:type="gramEnd"/>
      <w:r w:rsidRPr="00302E88">
        <w:rPr>
          <w:rFonts w:ascii="Times New Roman" w:hAnsi="Times New Roman"/>
          <w:szCs w:val="24"/>
        </w:rPr>
        <w:t xml:space="preserve"> based on current documentation </w:t>
      </w:r>
    </w:p>
    <w:p w14:paraId="294CE323" w14:textId="77777777" w:rsidR="00302E88" w:rsidRDefault="00302E88" w:rsidP="00302E88">
      <w:pPr>
        <w:rPr>
          <w:rFonts w:ascii="Times New Roman" w:hAnsi="Times New Roman"/>
          <w:b/>
          <w:bCs/>
          <w:szCs w:val="24"/>
        </w:rPr>
      </w:pPr>
    </w:p>
    <w:p w14:paraId="0609285A" w14:textId="140F4814" w:rsidR="00302E88" w:rsidRPr="00302E88" w:rsidRDefault="00302E88" w:rsidP="00302E88">
      <w:pPr>
        <w:rPr>
          <w:rFonts w:ascii="Times New Roman" w:hAnsi="Times New Roman"/>
          <w:szCs w:val="24"/>
        </w:rPr>
      </w:pPr>
      <w:r w:rsidRPr="00302E88">
        <w:rPr>
          <w:rFonts w:ascii="Times New Roman" w:hAnsi="Times New Roman"/>
          <w:b/>
          <w:bCs/>
          <w:szCs w:val="24"/>
        </w:rPr>
        <w:t>E. Accessibility Support</w:t>
      </w:r>
      <w:r w:rsidRPr="00302E88">
        <w:rPr>
          <w:rFonts w:ascii="Times New Roman" w:hAnsi="Times New Roman"/>
          <w:szCs w:val="24"/>
        </w:rPr>
        <w:br/>
        <w:t xml:space="preserve">Students </w:t>
      </w:r>
      <w:proofErr w:type="gramStart"/>
      <w:r w:rsidRPr="00302E88">
        <w:rPr>
          <w:rFonts w:ascii="Times New Roman" w:hAnsi="Times New Roman"/>
          <w:szCs w:val="24"/>
        </w:rPr>
        <w:t>experiencing difficulty</w:t>
      </w:r>
      <w:proofErr w:type="gramEnd"/>
      <w:r w:rsidRPr="00302E88">
        <w:rPr>
          <w:rFonts w:ascii="Times New Roman" w:hAnsi="Times New Roman"/>
          <w:szCs w:val="24"/>
        </w:rPr>
        <w:t xml:space="preserve"> accessing online materials or forms should contact the SDRC directly for assistance.</w:t>
      </w:r>
    </w:p>
    <w:p w14:paraId="1C391E0D" w14:textId="77777777" w:rsidR="00302E88" w:rsidRDefault="00302E88" w:rsidP="007F38C3">
      <w:pPr>
        <w:rPr>
          <w:rFonts w:ascii="Times New Roman" w:hAnsi="Times New Roman"/>
          <w:szCs w:val="24"/>
        </w:rPr>
      </w:pPr>
    </w:p>
    <w:p w14:paraId="72287B32" w14:textId="77777777" w:rsidR="007F38C3" w:rsidRPr="007938F3" w:rsidRDefault="007F38C3" w:rsidP="007F38C3">
      <w:pPr>
        <w:rPr>
          <w:rFonts w:ascii="Times New Roman" w:hAnsi="Times New Roman"/>
          <w:b/>
          <w:smallCaps/>
          <w:szCs w:val="24"/>
        </w:rPr>
      </w:pPr>
      <w:r w:rsidRPr="007938F3">
        <w:rPr>
          <w:rFonts w:ascii="Times New Roman" w:hAnsi="Times New Roman"/>
          <w:b/>
          <w:smallCaps/>
          <w:szCs w:val="24"/>
        </w:rPr>
        <w:t xml:space="preserve">Related University, State and Federal Policies </w:t>
      </w:r>
    </w:p>
    <w:p w14:paraId="52016B4E" w14:textId="2291CB24" w:rsidR="00302E88" w:rsidRPr="00302E88" w:rsidRDefault="00302E88" w:rsidP="00302E88">
      <w:pPr>
        <w:rPr>
          <w:rFonts w:ascii="Times New Roman" w:hAnsi="Times New Roman"/>
          <w:szCs w:val="24"/>
        </w:rPr>
      </w:pPr>
      <w:hyperlink r:id="rId11" w:history="1">
        <w:r w:rsidRPr="008D420E">
          <w:rPr>
            <w:rStyle w:val="Hyperlink"/>
            <w:rFonts w:ascii="Times New Roman" w:hAnsi="Times New Roman"/>
            <w:szCs w:val="24"/>
          </w:rPr>
          <w:t>Americans with Disabilities Act (ADA)</w:t>
        </w:r>
      </w:hyperlink>
      <w:r w:rsidRPr="00302E88">
        <w:rPr>
          <w:rFonts w:ascii="Times New Roman" w:hAnsi="Times New Roman"/>
          <w:szCs w:val="24"/>
        </w:rPr>
        <w:t xml:space="preserve"> </w:t>
      </w:r>
    </w:p>
    <w:p w14:paraId="160B1937" w14:textId="4537B067" w:rsidR="007F38C3" w:rsidRDefault="00302E88" w:rsidP="00302E88">
      <w:pPr>
        <w:rPr>
          <w:rFonts w:ascii="Times New Roman" w:hAnsi="Times New Roman"/>
          <w:szCs w:val="24"/>
        </w:rPr>
      </w:pPr>
      <w:hyperlink r:id="rId12" w:history="1">
        <w:r w:rsidRPr="008D420E">
          <w:rPr>
            <w:rStyle w:val="Hyperlink"/>
            <w:rFonts w:ascii="Times New Roman" w:hAnsi="Times New Roman"/>
            <w:szCs w:val="24"/>
          </w:rPr>
          <w:t>Section 504 of the Rehabilitation Act</w:t>
        </w:r>
      </w:hyperlink>
    </w:p>
    <w:p w14:paraId="42D303C2" w14:textId="77777777" w:rsidR="007F38C3" w:rsidRDefault="007F38C3" w:rsidP="007F38C3">
      <w:pPr>
        <w:rPr>
          <w:rFonts w:ascii="Times New Roman" w:hAnsi="Times New Roman"/>
          <w:szCs w:val="24"/>
        </w:rPr>
      </w:pPr>
    </w:p>
    <w:p w14:paraId="34440CD5" w14:textId="77777777" w:rsidR="007F38C3" w:rsidRPr="007938F3" w:rsidRDefault="007F38C3" w:rsidP="007F38C3">
      <w:pPr>
        <w:rPr>
          <w:rFonts w:ascii="Times New Roman" w:hAnsi="Times New Roman"/>
          <w:b/>
          <w:smallCaps/>
          <w:szCs w:val="24"/>
        </w:rPr>
      </w:pPr>
      <w:r w:rsidRPr="007938F3">
        <w:rPr>
          <w:rFonts w:ascii="Times New Roman" w:hAnsi="Times New Roman"/>
          <w:b/>
          <w:smallCaps/>
          <w:szCs w:val="24"/>
        </w:rPr>
        <w:t xml:space="preserve">History of Revisions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5"/>
        <w:gridCol w:w="4675"/>
      </w:tblGrid>
      <w:tr w:rsidR="007F38C3" w14:paraId="28B75DEF" w14:textId="77777777" w:rsidTr="00EE6A15">
        <w:tc>
          <w:tcPr>
            <w:tcW w:w="4675" w:type="dxa"/>
          </w:tcPr>
          <w:p w14:paraId="31AD1BAD" w14:textId="77777777" w:rsidR="007F38C3" w:rsidRPr="00D8281E" w:rsidRDefault="007F38C3" w:rsidP="00EE6A15">
            <w:pPr>
              <w:rPr>
                <w:rFonts w:ascii="Times New Roman" w:eastAsia="Calibri" w:hAnsi="Times New Roman"/>
                <w:b/>
                <w:smallCaps/>
                <w:szCs w:val="24"/>
              </w:rPr>
            </w:pPr>
            <w:r w:rsidRPr="00D8281E">
              <w:rPr>
                <w:rFonts w:ascii="Times New Roman" w:eastAsia="Calibri" w:hAnsi="Times New Roman"/>
                <w:b/>
                <w:smallCaps/>
                <w:szCs w:val="24"/>
              </w:rPr>
              <w:t>Date of Revision</w:t>
            </w:r>
          </w:p>
        </w:tc>
        <w:tc>
          <w:tcPr>
            <w:tcW w:w="4675" w:type="dxa"/>
          </w:tcPr>
          <w:p w14:paraId="590B7C96" w14:textId="77777777" w:rsidR="007F38C3" w:rsidRPr="00D8281E" w:rsidRDefault="007F38C3" w:rsidP="00EE6A15">
            <w:pPr>
              <w:rPr>
                <w:rFonts w:ascii="Times New Roman" w:eastAsia="Calibri" w:hAnsi="Times New Roman"/>
                <w:b/>
                <w:smallCaps/>
                <w:szCs w:val="24"/>
              </w:rPr>
            </w:pPr>
            <w:r w:rsidRPr="00D8281E">
              <w:rPr>
                <w:rFonts w:ascii="Times New Roman" w:eastAsia="Calibri" w:hAnsi="Times New Roman"/>
                <w:b/>
                <w:smallCaps/>
                <w:szCs w:val="24"/>
              </w:rPr>
              <w:t>Reason for Revision</w:t>
            </w:r>
          </w:p>
        </w:tc>
      </w:tr>
      <w:tr w:rsidR="007F38C3" w14:paraId="5D897EC5" w14:textId="77777777" w:rsidTr="00EE6A15">
        <w:tc>
          <w:tcPr>
            <w:tcW w:w="4675" w:type="dxa"/>
          </w:tcPr>
          <w:p w14:paraId="1D9B72B1" w14:textId="7E5C63C4" w:rsidR="007F38C3" w:rsidRPr="00D8281E" w:rsidRDefault="00302E88" w:rsidP="00EE6A15">
            <w:pPr>
              <w:rPr>
                <w:rFonts w:ascii="Times New Roman" w:eastAsia="Calibri" w:hAnsi="Times New Roman"/>
                <w:szCs w:val="24"/>
              </w:rPr>
            </w:pPr>
            <w:r>
              <w:rPr>
                <w:rFonts w:ascii="Times New Roman" w:eastAsia="Calibri" w:hAnsi="Times New Roman"/>
                <w:szCs w:val="24"/>
              </w:rPr>
              <w:t>July 1, 2008</w:t>
            </w:r>
          </w:p>
        </w:tc>
        <w:tc>
          <w:tcPr>
            <w:tcW w:w="4675" w:type="dxa"/>
          </w:tcPr>
          <w:p w14:paraId="6F8BB41C" w14:textId="55CF7DA2" w:rsidR="007F38C3" w:rsidRPr="00D8281E" w:rsidRDefault="00302E88" w:rsidP="00EE6A15">
            <w:pPr>
              <w:rPr>
                <w:rFonts w:ascii="Times New Roman" w:eastAsia="Calibri" w:hAnsi="Times New Roman"/>
                <w:szCs w:val="24"/>
              </w:rPr>
            </w:pPr>
            <w:r>
              <w:rPr>
                <w:rFonts w:ascii="Times New Roman" w:eastAsia="Calibri" w:hAnsi="Times New Roman"/>
                <w:szCs w:val="24"/>
              </w:rPr>
              <w:t>Original policy approval</w:t>
            </w:r>
          </w:p>
        </w:tc>
      </w:tr>
      <w:tr w:rsidR="007F38C3" w14:paraId="09917BC2" w14:textId="77777777" w:rsidTr="00EE6A15">
        <w:tc>
          <w:tcPr>
            <w:tcW w:w="4675" w:type="dxa"/>
          </w:tcPr>
          <w:p w14:paraId="7ED13B48" w14:textId="4573EFFB" w:rsidR="007F38C3" w:rsidRPr="00D8281E" w:rsidRDefault="00302E88" w:rsidP="00EE6A15">
            <w:pPr>
              <w:rPr>
                <w:rFonts w:ascii="Times New Roman" w:eastAsia="Calibri" w:hAnsi="Times New Roman"/>
                <w:szCs w:val="24"/>
              </w:rPr>
            </w:pPr>
            <w:r>
              <w:rPr>
                <w:rFonts w:ascii="Times New Roman" w:eastAsia="Calibri" w:hAnsi="Times New Roman"/>
                <w:szCs w:val="24"/>
              </w:rPr>
              <w:t>February 8, 2019</w:t>
            </w:r>
          </w:p>
        </w:tc>
        <w:tc>
          <w:tcPr>
            <w:tcW w:w="4675" w:type="dxa"/>
          </w:tcPr>
          <w:p w14:paraId="3BDC32B1" w14:textId="11085480" w:rsidR="007F38C3" w:rsidRPr="00D8281E" w:rsidRDefault="00302E88" w:rsidP="00EE6A15">
            <w:pPr>
              <w:rPr>
                <w:rFonts w:ascii="Times New Roman" w:eastAsia="Calibri" w:hAnsi="Times New Roman"/>
                <w:szCs w:val="24"/>
              </w:rPr>
            </w:pPr>
            <w:r>
              <w:rPr>
                <w:rFonts w:ascii="Times New Roman" w:eastAsia="Calibri" w:hAnsi="Times New Roman"/>
                <w:szCs w:val="24"/>
              </w:rPr>
              <w:t>Procedural updates</w:t>
            </w:r>
          </w:p>
        </w:tc>
      </w:tr>
      <w:tr w:rsidR="007F38C3" w14:paraId="4C60E75F" w14:textId="77777777" w:rsidTr="00EE6A15">
        <w:tc>
          <w:tcPr>
            <w:tcW w:w="4675" w:type="dxa"/>
          </w:tcPr>
          <w:p w14:paraId="2D457195" w14:textId="620B1404" w:rsidR="007F38C3" w:rsidRPr="00D8281E" w:rsidRDefault="00302E88" w:rsidP="00EE6A15">
            <w:pPr>
              <w:rPr>
                <w:rFonts w:ascii="Times New Roman" w:eastAsia="Calibri" w:hAnsi="Times New Roman"/>
                <w:szCs w:val="24"/>
              </w:rPr>
            </w:pPr>
            <w:r>
              <w:rPr>
                <w:rFonts w:ascii="Times New Roman" w:eastAsia="Calibri" w:hAnsi="Times New Roman"/>
                <w:szCs w:val="24"/>
              </w:rPr>
              <w:t>May 1, 2026</w:t>
            </w:r>
          </w:p>
        </w:tc>
        <w:tc>
          <w:tcPr>
            <w:tcW w:w="4675" w:type="dxa"/>
          </w:tcPr>
          <w:p w14:paraId="5C232C21" w14:textId="12B72989" w:rsidR="007F38C3" w:rsidRPr="00D8281E" w:rsidRDefault="00302E88" w:rsidP="00EE6A15">
            <w:pPr>
              <w:rPr>
                <w:rFonts w:ascii="Times New Roman" w:eastAsia="Calibri" w:hAnsi="Times New Roman"/>
                <w:szCs w:val="24"/>
              </w:rPr>
            </w:pPr>
            <w:r>
              <w:rPr>
                <w:rFonts w:ascii="Times New Roman" w:eastAsia="Calibri" w:hAnsi="Times New Roman"/>
                <w:szCs w:val="24"/>
              </w:rPr>
              <w:t>Procedural updates</w:t>
            </w:r>
            <w:r w:rsidR="00F00934">
              <w:rPr>
                <w:rFonts w:ascii="Times New Roman" w:eastAsia="Calibri" w:hAnsi="Times New Roman"/>
                <w:szCs w:val="24"/>
              </w:rPr>
              <w:t xml:space="preserve"> and updated template</w:t>
            </w:r>
          </w:p>
        </w:tc>
      </w:tr>
    </w:tbl>
    <w:p w14:paraId="3C990B3E" w14:textId="77777777" w:rsidR="007F38C3" w:rsidRPr="00C179F6" w:rsidRDefault="007F38C3" w:rsidP="007F38C3">
      <w:pPr>
        <w:rPr>
          <w:rFonts w:ascii="Times New Roman" w:hAnsi="Times New Roman"/>
          <w:szCs w:val="24"/>
        </w:rPr>
      </w:pPr>
    </w:p>
    <w:p w14:paraId="16BFED20" w14:textId="4E2AFBE5" w:rsidR="006D6D41" w:rsidRDefault="006D6D41"/>
    <w:sectPr w:rsidR="006D6D41" w:rsidSect="00FD6D2E">
      <w:footerReference w:type="even"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FC8071" w14:textId="77777777" w:rsidR="00B81728" w:rsidRDefault="00B81728">
      <w:r>
        <w:separator/>
      </w:r>
    </w:p>
  </w:endnote>
  <w:endnote w:type="continuationSeparator" w:id="0">
    <w:p w14:paraId="3EAEB25B" w14:textId="77777777" w:rsidR="00B81728" w:rsidRDefault="00B817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135CE8" w14:textId="77777777" w:rsidR="006D6D41" w:rsidRDefault="007F38C3" w:rsidP="00FE43D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BDFF36B" w14:textId="77777777" w:rsidR="006D6D41" w:rsidRDefault="006D6D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FF0D58" w14:textId="77777777" w:rsidR="006D6D41" w:rsidRPr="00F30435" w:rsidRDefault="007F38C3" w:rsidP="00FE43D9">
    <w:pPr>
      <w:pStyle w:val="Footer"/>
      <w:framePr w:wrap="around" w:vAnchor="text" w:hAnchor="margin" w:xAlign="center" w:y="1"/>
      <w:rPr>
        <w:rStyle w:val="PageNumber"/>
        <w:rFonts w:ascii="Times New Roman" w:hAnsi="Times New Roman"/>
      </w:rPr>
    </w:pPr>
    <w:r w:rsidRPr="00F30435">
      <w:rPr>
        <w:rStyle w:val="PageNumber"/>
        <w:rFonts w:ascii="Times New Roman" w:hAnsi="Times New Roman"/>
      </w:rPr>
      <w:fldChar w:fldCharType="begin"/>
    </w:r>
    <w:r w:rsidRPr="00F30435">
      <w:rPr>
        <w:rStyle w:val="PageNumber"/>
        <w:rFonts w:ascii="Times New Roman" w:hAnsi="Times New Roman"/>
      </w:rPr>
      <w:instrText xml:space="preserve">PAGE  </w:instrText>
    </w:r>
    <w:r w:rsidRPr="00F30435">
      <w:rPr>
        <w:rStyle w:val="PageNumber"/>
        <w:rFonts w:ascii="Times New Roman" w:hAnsi="Times New Roman"/>
      </w:rPr>
      <w:fldChar w:fldCharType="separate"/>
    </w:r>
    <w:r w:rsidR="00140C85">
      <w:rPr>
        <w:rStyle w:val="PageNumber"/>
        <w:rFonts w:ascii="Times New Roman" w:hAnsi="Times New Roman"/>
        <w:noProof/>
      </w:rPr>
      <w:t>1</w:t>
    </w:r>
    <w:r w:rsidRPr="00F30435">
      <w:rPr>
        <w:rStyle w:val="PageNumber"/>
        <w:rFonts w:ascii="Times New Roman" w:hAnsi="Times New Roman"/>
      </w:rPr>
      <w:fldChar w:fldCharType="end"/>
    </w:r>
  </w:p>
  <w:p w14:paraId="1DAFB8C5" w14:textId="77777777" w:rsidR="006D6D41" w:rsidRDefault="006D6D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D56FBE" w14:textId="77777777" w:rsidR="00B81728" w:rsidRDefault="00B81728">
      <w:r>
        <w:separator/>
      </w:r>
    </w:p>
  </w:footnote>
  <w:footnote w:type="continuationSeparator" w:id="0">
    <w:p w14:paraId="0C51CA16" w14:textId="77777777" w:rsidR="00B81728" w:rsidRDefault="00B817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AF3FA8"/>
    <w:multiLevelType w:val="multilevel"/>
    <w:tmpl w:val="9DD6B4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E7E3414"/>
    <w:multiLevelType w:val="multilevel"/>
    <w:tmpl w:val="5874B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12578017">
    <w:abstractNumId w:val="1"/>
  </w:num>
  <w:num w:numId="2" w16cid:durableId="1515257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38C3"/>
    <w:rsid w:val="00140C85"/>
    <w:rsid w:val="00302E88"/>
    <w:rsid w:val="003D2969"/>
    <w:rsid w:val="004073AA"/>
    <w:rsid w:val="004770A7"/>
    <w:rsid w:val="004A43CF"/>
    <w:rsid w:val="00565538"/>
    <w:rsid w:val="006D6D41"/>
    <w:rsid w:val="006E539B"/>
    <w:rsid w:val="007F38C3"/>
    <w:rsid w:val="008D420E"/>
    <w:rsid w:val="008F4141"/>
    <w:rsid w:val="009A60BF"/>
    <w:rsid w:val="00B81728"/>
    <w:rsid w:val="00BA3FED"/>
    <w:rsid w:val="00BC7E58"/>
    <w:rsid w:val="00DE0F69"/>
    <w:rsid w:val="00E40FA1"/>
    <w:rsid w:val="00F00934"/>
    <w:rsid w:val="00F17EF6"/>
    <w:rsid w:val="00F633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65C71F"/>
  <w15:chartTrackingRefBased/>
  <w15:docId w15:val="{671EFA1C-0AAC-40DA-B0EB-BD4D0CCB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38C3"/>
    <w:pPr>
      <w:spacing w:after="0" w:line="240" w:lineRule="auto"/>
    </w:pPr>
    <w:rPr>
      <w:rFonts w:ascii="Arial" w:eastAsia="Times New Roman" w:hAnsi="Arial" w:cs="Times New Roman"/>
      <w:sz w:val="24"/>
      <w:szCs w:val="20"/>
    </w:rPr>
  </w:style>
  <w:style w:type="paragraph" w:styleId="Heading1">
    <w:name w:val="heading 1"/>
    <w:basedOn w:val="Normal"/>
    <w:link w:val="Heading1Char"/>
    <w:uiPriority w:val="1"/>
    <w:qFormat/>
    <w:rsid w:val="007F38C3"/>
    <w:pPr>
      <w:widowControl w:val="0"/>
      <w:spacing w:before="56"/>
      <w:outlineLvl w:val="0"/>
    </w:pPr>
    <w:rPr>
      <w:rFonts w:ascii="Times New Roman" w:hAnsi="Times New Roman"/>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7F38C3"/>
    <w:rPr>
      <w:rFonts w:ascii="Times New Roman" w:eastAsia="Times New Roman" w:hAnsi="Times New Roman" w:cs="Times New Roman"/>
      <w:b/>
      <w:bCs/>
      <w:sz w:val="24"/>
      <w:szCs w:val="24"/>
    </w:rPr>
  </w:style>
  <w:style w:type="paragraph" w:styleId="Footer">
    <w:name w:val="footer"/>
    <w:basedOn w:val="Normal"/>
    <w:link w:val="FooterChar"/>
    <w:rsid w:val="007F38C3"/>
    <w:pPr>
      <w:tabs>
        <w:tab w:val="center" w:pos="4320"/>
        <w:tab w:val="right" w:pos="8640"/>
      </w:tabs>
    </w:pPr>
  </w:style>
  <w:style w:type="character" w:customStyle="1" w:styleId="FooterChar">
    <w:name w:val="Footer Char"/>
    <w:basedOn w:val="DefaultParagraphFont"/>
    <w:link w:val="Footer"/>
    <w:rsid w:val="007F38C3"/>
    <w:rPr>
      <w:rFonts w:ascii="Arial" w:eastAsia="Times New Roman" w:hAnsi="Arial" w:cs="Times New Roman"/>
      <w:sz w:val="24"/>
      <w:szCs w:val="20"/>
    </w:rPr>
  </w:style>
  <w:style w:type="character" w:styleId="PageNumber">
    <w:name w:val="page number"/>
    <w:basedOn w:val="DefaultParagraphFont"/>
    <w:rsid w:val="007F38C3"/>
  </w:style>
  <w:style w:type="paragraph" w:customStyle="1" w:styleId="TableParagraph">
    <w:name w:val="Table Paragraph"/>
    <w:basedOn w:val="Normal"/>
    <w:uiPriority w:val="1"/>
    <w:qFormat/>
    <w:rsid w:val="00E40FA1"/>
    <w:pPr>
      <w:widowControl w:val="0"/>
      <w:autoSpaceDE w:val="0"/>
      <w:autoSpaceDN w:val="0"/>
      <w:spacing w:line="273" w:lineRule="exact"/>
      <w:ind w:left="107"/>
    </w:pPr>
    <w:rPr>
      <w:rFonts w:ascii="Times New Roman" w:hAnsi="Times New Roman"/>
      <w:sz w:val="22"/>
      <w:szCs w:val="22"/>
    </w:rPr>
  </w:style>
  <w:style w:type="paragraph" w:styleId="ListParagraph">
    <w:name w:val="List Paragraph"/>
    <w:basedOn w:val="Normal"/>
    <w:uiPriority w:val="34"/>
    <w:qFormat/>
    <w:rsid w:val="00302E88"/>
    <w:pPr>
      <w:ind w:left="720"/>
      <w:contextualSpacing/>
    </w:pPr>
  </w:style>
  <w:style w:type="character" w:styleId="Hyperlink">
    <w:name w:val="Hyperlink"/>
    <w:basedOn w:val="DefaultParagraphFont"/>
    <w:uiPriority w:val="99"/>
    <w:unhideWhenUsed/>
    <w:rsid w:val="008D420E"/>
    <w:rPr>
      <w:color w:val="0563C1" w:themeColor="hyperlink"/>
      <w:u w:val="single"/>
    </w:rPr>
  </w:style>
  <w:style w:type="character" w:styleId="UnresolvedMention">
    <w:name w:val="Unresolved Mention"/>
    <w:basedOn w:val="DefaultParagraphFont"/>
    <w:uiPriority w:val="99"/>
    <w:semiHidden/>
    <w:unhideWhenUsed/>
    <w:rsid w:val="008D42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hhs.gov/civil-rights/for-individuals/disability/section-504-rehabilitation-act-of-1973/index.htm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da.gov/"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156D200-3451-4AFC-9EFD-3124CA299DC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FABEDD2-EF12-48B8-AB9A-FDAD797BC1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BABDCFD0-D334-492F-86ED-5F08BDFDB6EB}">
  <ds:schemaRefs>
    <ds:schemaRef ds:uri="http://schemas.openxmlformats.org/officeDocument/2006/bibliography"/>
  </ds:schemaRefs>
</ds:datastoreItem>
</file>

<file path=customXml/itemProps4.xml><?xml version="1.0" encoding="utf-8"?>
<ds:datastoreItem xmlns:ds="http://schemas.openxmlformats.org/officeDocument/2006/customXml" ds:itemID="{C7B2DEEB-EF7C-463E-8EBC-37F40E64F1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474</Words>
  <Characters>2704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University of South Carolina</Company>
  <LinksUpToDate>false</LinksUpToDate>
  <CharactersWithSpaces>3172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NALL, SHAKARA L</dc:creator>
  <cp:keywords/>
  <dc:description/>
  <cp:lastModifiedBy>Badesha, Sonia</cp:lastModifiedBy>
  <cp:revision>4</cp:revision>
  <dcterms:created xsi:type="dcterms:W3CDTF">2026-05-01T15:40:00Z</dcterms:created>
  <dcterms:modified xsi:type="dcterms:W3CDTF">2026-05-01T17:18:00Z</dcterms:modified>
</cp:coreProperties>
</file>